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08B" w:rsidRPr="0006269A" w:rsidRDefault="0003108B" w:rsidP="00A442E4">
      <w:pPr>
        <w:pStyle w:val="Articletitle"/>
        <w:numPr>
          <w:ilvl w:val="0"/>
          <w:numId w:val="27"/>
        </w:numPr>
        <w:spacing w:after="0" w:line="360" w:lineRule="auto"/>
        <w:rPr>
          <w:b w:val="0"/>
          <w:sz w:val="20"/>
          <w:szCs w:val="20"/>
        </w:rPr>
      </w:pPr>
      <w:bookmarkStart w:id="0" w:name="_Ref203645757"/>
      <w:bookmarkStart w:id="1" w:name="_Toc211237669"/>
      <w:bookmarkStart w:id="2" w:name="_Toc220890605"/>
      <w:r w:rsidRPr="0006269A">
        <w:rPr>
          <w:b w:val="0"/>
          <w:sz w:val="20"/>
          <w:szCs w:val="20"/>
        </w:rPr>
        <w:t>Article type: paper (3000-5000 words with one illustration per 500 words).</w:t>
      </w:r>
    </w:p>
    <w:p w:rsidR="0003108B" w:rsidRPr="0006269A" w:rsidRDefault="0003108B" w:rsidP="00A442E4">
      <w:pPr>
        <w:pStyle w:val="Authorname"/>
        <w:numPr>
          <w:ilvl w:val="0"/>
          <w:numId w:val="27"/>
        </w:numPr>
        <w:spacing w:after="0" w:line="360" w:lineRule="auto"/>
        <w:rPr>
          <w:sz w:val="20"/>
        </w:rPr>
      </w:pPr>
      <w:r w:rsidRPr="0006269A">
        <w:rPr>
          <w:sz w:val="20"/>
        </w:rPr>
        <w:t>Date text written or revised.</w:t>
      </w:r>
    </w:p>
    <w:p w:rsidR="0003108B" w:rsidRPr="0006269A" w:rsidRDefault="0003108B" w:rsidP="0006269A">
      <w:pPr>
        <w:pStyle w:val="Authoraffiliations"/>
        <w:numPr>
          <w:ilvl w:val="0"/>
          <w:numId w:val="27"/>
        </w:numPr>
      </w:pPr>
      <w:r w:rsidRPr="0006269A">
        <w:t>Number of words in your main text and tables, followed by the number of figures.</w:t>
      </w:r>
    </w:p>
    <w:p w:rsidR="0003108B" w:rsidRPr="0006269A" w:rsidRDefault="0003108B" w:rsidP="0006269A">
      <w:pPr>
        <w:pStyle w:val="Authoraffiliations"/>
        <w:numPr>
          <w:ilvl w:val="0"/>
          <w:numId w:val="27"/>
        </w:numPr>
      </w:pPr>
      <w:r w:rsidRPr="0006269A">
        <w:t xml:space="preserve">This is an example created from parts of other </w:t>
      </w:r>
      <w:proofErr w:type="gramStart"/>
      <w:r w:rsidRPr="0006269A">
        <w:t>articles,</w:t>
      </w:r>
      <w:proofErr w:type="gramEnd"/>
      <w:r w:rsidRPr="0006269A">
        <w:t xml:space="preserve"> it is not designed to be read for sense.</w:t>
      </w:r>
    </w:p>
    <w:p w:rsidR="0003108B" w:rsidRPr="00A442E4" w:rsidRDefault="00A442E4" w:rsidP="00A442E4">
      <w:pPr>
        <w:pStyle w:val="Articletitle"/>
        <w:spacing w:after="0" w:line="360" w:lineRule="auto"/>
        <w:rPr>
          <w:sz w:val="20"/>
          <w:szCs w:val="20"/>
        </w:rPr>
      </w:pPr>
      <w:r>
        <w:rPr>
          <w:sz w:val="20"/>
          <w:szCs w:val="20"/>
        </w:rPr>
        <w:t>-------------------------------------------------------------------------------------------------------------------------------</w:t>
      </w:r>
    </w:p>
    <w:p w:rsidR="00A442E4" w:rsidRDefault="00A442E4" w:rsidP="00A442E4">
      <w:pPr>
        <w:pStyle w:val="Articletitle"/>
        <w:spacing w:after="0" w:line="360" w:lineRule="auto"/>
        <w:rPr>
          <w:sz w:val="20"/>
          <w:szCs w:val="20"/>
        </w:rPr>
      </w:pPr>
    </w:p>
    <w:p w:rsidR="0003108B" w:rsidRPr="00A442E4" w:rsidRDefault="0003108B" w:rsidP="00A442E4">
      <w:pPr>
        <w:pStyle w:val="Articletitle"/>
        <w:spacing w:after="0" w:line="360" w:lineRule="auto"/>
        <w:rPr>
          <w:sz w:val="20"/>
          <w:szCs w:val="20"/>
        </w:rPr>
      </w:pPr>
      <w:r w:rsidRPr="00A442E4">
        <w:rPr>
          <w:sz w:val="20"/>
          <w:szCs w:val="20"/>
        </w:rPr>
        <w:t>Title (maximum length of 62 characters including spaces)</w:t>
      </w:r>
    </w:p>
    <w:p w:rsidR="0003108B" w:rsidRDefault="0003108B" w:rsidP="00A442E4">
      <w:pPr>
        <w:pStyle w:val="Authorname"/>
        <w:spacing w:after="0" w:line="360" w:lineRule="auto"/>
        <w:rPr>
          <w:sz w:val="20"/>
        </w:rPr>
      </w:pPr>
    </w:p>
    <w:p w:rsidR="0003108B" w:rsidRPr="0006269A" w:rsidRDefault="0003108B" w:rsidP="00A442E4">
      <w:pPr>
        <w:pStyle w:val="Authorname"/>
        <w:spacing w:after="0" w:line="360" w:lineRule="auto"/>
        <w:rPr>
          <w:sz w:val="20"/>
        </w:rPr>
      </w:pPr>
      <w:r w:rsidRPr="0006269A">
        <w:rPr>
          <w:sz w:val="20"/>
        </w:rPr>
        <w:t>Author 1</w:t>
      </w:r>
    </w:p>
    <w:p w:rsidR="0003108B" w:rsidRPr="0006269A" w:rsidRDefault="0003108B" w:rsidP="0006269A">
      <w:pPr>
        <w:pStyle w:val="Authoraffiliations"/>
        <w:numPr>
          <w:ilvl w:val="0"/>
          <w:numId w:val="28"/>
        </w:numPr>
      </w:pPr>
      <w:r w:rsidRPr="0006269A">
        <w:t>Name, qualifications</w:t>
      </w:r>
    </w:p>
    <w:p w:rsidR="0003108B" w:rsidRPr="0006269A" w:rsidRDefault="0003108B" w:rsidP="0006269A">
      <w:pPr>
        <w:pStyle w:val="Authoraffiliations"/>
        <w:numPr>
          <w:ilvl w:val="0"/>
          <w:numId w:val="28"/>
        </w:numPr>
      </w:pPr>
      <w:r w:rsidRPr="0006269A">
        <w:t>Department of XXXX, XXXX Institute of Science, City, Country</w:t>
      </w:r>
    </w:p>
    <w:p w:rsidR="0003108B" w:rsidRPr="0006269A" w:rsidRDefault="0003108B" w:rsidP="00A442E4">
      <w:pPr>
        <w:pStyle w:val="Authorname"/>
        <w:spacing w:after="0" w:line="360" w:lineRule="auto"/>
        <w:rPr>
          <w:sz w:val="20"/>
        </w:rPr>
      </w:pPr>
      <w:r w:rsidRPr="0006269A">
        <w:rPr>
          <w:sz w:val="20"/>
        </w:rPr>
        <w:t>Author 2</w:t>
      </w:r>
    </w:p>
    <w:p w:rsidR="0003108B" w:rsidRPr="0006269A" w:rsidRDefault="0003108B" w:rsidP="0006269A">
      <w:pPr>
        <w:pStyle w:val="Authoraffiliations"/>
        <w:numPr>
          <w:ilvl w:val="0"/>
          <w:numId w:val="29"/>
        </w:numPr>
      </w:pPr>
      <w:r w:rsidRPr="0006269A">
        <w:t>Name, qualifications</w:t>
      </w:r>
    </w:p>
    <w:p w:rsidR="0003108B" w:rsidRPr="0006269A" w:rsidRDefault="0003108B" w:rsidP="0006269A">
      <w:pPr>
        <w:pStyle w:val="Authoraffiliations"/>
        <w:numPr>
          <w:ilvl w:val="0"/>
          <w:numId w:val="29"/>
        </w:numPr>
      </w:pPr>
      <w:r w:rsidRPr="0006269A">
        <w:t>Department of XXXX, XXXX Institute of Science, City, Country</w:t>
      </w:r>
    </w:p>
    <w:p w:rsidR="0003108B" w:rsidRPr="0006269A" w:rsidRDefault="0003108B" w:rsidP="008C6E90">
      <w:pPr>
        <w:spacing w:line="360" w:lineRule="auto"/>
        <w:outlineLvl w:val="0"/>
        <w:rPr>
          <w:b/>
          <w:sz w:val="20"/>
          <w:szCs w:val="20"/>
        </w:rPr>
      </w:pPr>
    </w:p>
    <w:p w:rsidR="0003108B" w:rsidRPr="0006269A" w:rsidRDefault="0003108B" w:rsidP="008C6E90">
      <w:pPr>
        <w:spacing w:line="360" w:lineRule="auto"/>
        <w:rPr>
          <w:b/>
          <w:sz w:val="20"/>
          <w:szCs w:val="20"/>
        </w:rPr>
      </w:pPr>
      <w:r w:rsidRPr="0006269A">
        <w:rPr>
          <w:b/>
          <w:sz w:val="20"/>
          <w:szCs w:val="20"/>
        </w:rPr>
        <w:t>Full contact details of corresponding author.</w:t>
      </w:r>
    </w:p>
    <w:p w:rsidR="0003108B" w:rsidRPr="00A442E4" w:rsidRDefault="0003108B" w:rsidP="008C6E90">
      <w:pPr>
        <w:spacing w:line="360" w:lineRule="auto"/>
        <w:outlineLvl w:val="0"/>
        <w:rPr>
          <w:b/>
          <w:sz w:val="20"/>
          <w:szCs w:val="20"/>
        </w:rPr>
      </w:pPr>
    </w:p>
    <w:p w:rsidR="0003108B" w:rsidRPr="00A442E4" w:rsidRDefault="0003108B" w:rsidP="008C6E90">
      <w:pPr>
        <w:spacing w:line="360" w:lineRule="auto"/>
        <w:rPr>
          <w:b/>
          <w:sz w:val="20"/>
          <w:szCs w:val="20"/>
        </w:rPr>
      </w:pPr>
      <w:r w:rsidRPr="008C6E90">
        <w:rPr>
          <w:b/>
          <w:sz w:val="20"/>
          <w:szCs w:val="20"/>
        </w:rPr>
        <w:br w:type="page"/>
      </w:r>
    </w:p>
    <w:p w:rsidR="0003108B" w:rsidRPr="00A442E4" w:rsidRDefault="0003108B" w:rsidP="008C6E90">
      <w:pPr>
        <w:spacing w:line="360" w:lineRule="auto"/>
        <w:outlineLvl w:val="0"/>
        <w:rPr>
          <w:b/>
          <w:sz w:val="20"/>
          <w:szCs w:val="20"/>
        </w:rPr>
      </w:pPr>
      <w:r w:rsidRPr="00A442E4">
        <w:rPr>
          <w:b/>
          <w:sz w:val="20"/>
          <w:szCs w:val="20"/>
        </w:rPr>
        <w:lastRenderedPageBreak/>
        <w:t>Abstract (200 words)</w:t>
      </w:r>
    </w:p>
    <w:p w:rsidR="0003108B" w:rsidRPr="00A442E4" w:rsidRDefault="0003108B" w:rsidP="008C6E90">
      <w:pPr>
        <w:spacing w:line="360" w:lineRule="auto"/>
        <w:outlineLvl w:val="0"/>
        <w:rPr>
          <w:b/>
          <w:sz w:val="20"/>
          <w:szCs w:val="20"/>
        </w:rPr>
      </w:pPr>
    </w:p>
    <w:p w:rsidR="0003108B" w:rsidRPr="00A442E4" w:rsidRDefault="0003108B" w:rsidP="008C6E90">
      <w:pPr>
        <w:spacing w:line="360" w:lineRule="auto"/>
        <w:rPr>
          <w:sz w:val="20"/>
          <w:szCs w:val="20"/>
        </w:rPr>
      </w:pPr>
      <w:r w:rsidRPr="00A442E4">
        <w:rPr>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3108B" w:rsidRPr="00A442E4" w:rsidRDefault="0003108B" w:rsidP="00A442E4">
      <w:pPr>
        <w:pStyle w:val="Keywords"/>
        <w:spacing w:before="0" w:line="360" w:lineRule="auto"/>
        <w:ind w:left="0"/>
        <w:rPr>
          <w:sz w:val="20"/>
          <w:szCs w:val="20"/>
        </w:rPr>
      </w:pPr>
    </w:p>
    <w:p w:rsidR="0003108B" w:rsidRPr="00A442E4" w:rsidRDefault="0003108B" w:rsidP="00A442E4">
      <w:pPr>
        <w:pStyle w:val="Keywords"/>
        <w:spacing w:before="0" w:line="360" w:lineRule="auto"/>
        <w:ind w:left="0"/>
        <w:rPr>
          <w:sz w:val="20"/>
          <w:szCs w:val="20"/>
        </w:rPr>
      </w:pPr>
      <w:r w:rsidRPr="00A442E4">
        <w:rPr>
          <w:b/>
          <w:sz w:val="20"/>
          <w:szCs w:val="20"/>
        </w:rPr>
        <w:t>Keywords</w:t>
      </w:r>
      <w:r w:rsidRPr="00A442E4">
        <w:rPr>
          <w:sz w:val="20"/>
          <w:szCs w:val="20"/>
        </w:rPr>
        <w:t xml:space="preserve"> </w:t>
      </w:r>
      <w:r w:rsidRPr="00A442E4">
        <w:rPr>
          <w:b/>
          <w:sz w:val="20"/>
          <w:szCs w:val="20"/>
        </w:rPr>
        <w:t>chosen from ICE Publishing list</w:t>
      </w:r>
    </w:p>
    <w:p w:rsidR="0003108B" w:rsidRPr="00A442E4" w:rsidRDefault="0003108B" w:rsidP="00A442E4">
      <w:pPr>
        <w:pStyle w:val="Keywords"/>
        <w:spacing w:before="0" w:line="360" w:lineRule="auto"/>
        <w:ind w:left="0"/>
        <w:rPr>
          <w:sz w:val="20"/>
          <w:szCs w:val="20"/>
        </w:rPr>
      </w:pPr>
      <w:proofErr w:type="gramStart"/>
      <w:r w:rsidRPr="00A442E4">
        <w:rPr>
          <w:sz w:val="20"/>
          <w:szCs w:val="20"/>
        </w:rPr>
        <w:t xml:space="preserve">Keyword 1; keyword 2; keyword 3 </w:t>
      </w:r>
      <w:r w:rsidR="0006269A">
        <w:rPr>
          <w:sz w:val="20"/>
          <w:szCs w:val="20"/>
        </w:rPr>
        <w:t xml:space="preserve">chosen </w:t>
      </w:r>
      <w:r w:rsidRPr="00A442E4">
        <w:rPr>
          <w:sz w:val="20"/>
          <w:szCs w:val="20"/>
        </w:rPr>
        <w:t xml:space="preserve">from list </w:t>
      </w:r>
      <w:hyperlink r:id="rId8" w:history="1">
        <w:r w:rsidRPr="0006269A">
          <w:rPr>
            <w:rStyle w:val="Hyperlink"/>
            <w:rFonts w:cs="Arial"/>
            <w:b/>
            <w:sz w:val="20"/>
            <w:szCs w:val="20"/>
          </w:rPr>
          <w:t>here</w:t>
        </w:r>
      </w:hyperlink>
      <w:r w:rsidRPr="00A442E4">
        <w:rPr>
          <w:sz w:val="20"/>
          <w:szCs w:val="20"/>
        </w:rPr>
        <w:t>.</w:t>
      </w:r>
      <w:proofErr w:type="gramEnd"/>
    </w:p>
    <w:p w:rsidR="0003108B" w:rsidRPr="00A442E4" w:rsidRDefault="0003108B" w:rsidP="008C6E90">
      <w:pPr>
        <w:spacing w:line="360" w:lineRule="auto"/>
        <w:rPr>
          <w:b/>
          <w:sz w:val="20"/>
          <w:szCs w:val="20"/>
        </w:rPr>
      </w:pPr>
    </w:p>
    <w:p w:rsidR="0003108B" w:rsidRPr="00A442E4" w:rsidRDefault="0003108B" w:rsidP="008C6E90">
      <w:pPr>
        <w:spacing w:line="360" w:lineRule="auto"/>
        <w:rPr>
          <w:b/>
          <w:sz w:val="20"/>
          <w:szCs w:val="20"/>
        </w:rPr>
      </w:pPr>
    </w:p>
    <w:p w:rsidR="0003108B" w:rsidRPr="00A442E4" w:rsidRDefault="0003108B" w:rsidP="008C6E90">
      <w:pPr>
        <w:spacing w:line="360" w:lineRule="auto"/>
        <w:rPr>
          <w:b/>
          <w:sz w:val="20"/>
          <w:szCs w:val="20"/>
        </w:rPr>
      </w:pPr>
      <w:r w:rsidRPr="00A442E4">
        <w:rPr>
          <w:b/>
          <w:sz w:val="20"/>
          <w:szCs w:val="20"/>
        </w:rPr>
        <w:t>List of notation</w:t>
      </w:r>
      <w:r w:rsidR="0006269A">
        <w:rPr>
          <w:b/>
          <w:sz w:val="20"/>
          <w:szCs w:val="20"/>
        </w:rPr>
        <w:t xml:space="preserve"> (examples below)</w:t>
      </w:r>
    </w:p>
    <w:p w:rsidR="0003108B" w:rsidRPr="00A442E4" w:rsidRDefault="0003108B" w:rsidP="00A442E4">
      <w:pPr>
        <w:spacing w:line="360" w:lineRule="auto"/>
        <w:rPr>
          <w:sz w:val="20"/>
          <w:szCs w:val="20"/>
        </w:rPr>
      </w:pPr>
      <w:proofErr w:type="gramStart"/>
      <w:r w:rsidRPr="00A442E4">
        <w:rPr>
          <w:i/>
          <w:sz w:val="20"/>
          <w:szCs w:val="20"/>
        </w:rPr>
        <w:t>v</w:t>
      </w:r>
      <w:proofErr w:type="gramEnd"/>
      <w:r w:rsidRPr="008C6E90">
        <w:rPr>
          <w:i/>
          <w:sz w:val="20"/>
          <w:szCs w:val="20"/>
        </w:rPr>
        <w:tab/>
      </w:r>
      <w:r w:rsidRPr="00A442E4">
        <w:rPr>
          <w:sz w:val="20"/>
          <w:szCs w:val="20"/>
        </w:rPr>
        <w:t>is the allowable vertical displacement</w:t>
      </w:r>
    </w:p>
    <w:p w:rsidR="0003108B" w:rsidRPr="00A442E4" w:rsidRDefault="0003108B" w:rsidP="00A442E4">
      <w:pPr>
        <w:spacing w:line="360" w:lineRule="auto"/>
        <w:rPr>
          <w:sz w:val="20"/>
          <w:szCs w:val="20"/>
        </w:rPr>
      </w:pPr>
      <w:proofErr w:type="gramStart"/>
      <w:r w:rsidRPr="00A442E4">
        <w:rPr>
          <w:sz w:val="20"/>
          <w:szCs w:val="20"/>
        </w:rPr>
        <w:t>α</w:t>
      </w:r>
      <w:proofErr w:type="gramEnd"/>
      <w:r w:rsidRPr="008C6E90">
        <w:rPr>
          <w:sz w:val="20"/>
          <w:szCs w:val="20"/>
        </w:rPr>
        <w:tab/>
      </w:r>
      <w:r w:rsidRPr="00A442E4">
        <w:rPr>
          <w:sz w:val="20"/>
          <w:szCs w:val="20"/>
        </w:rPr>
        <w:t>is the coefficient of thermal expansion of concrete</w:t>
      </w:r>
    </w:p>
    <w:p w:rsidR="0003108B" w:rsidRPr="00A442E4" w:rsidRDefault="0003108B" w:rsidP="00A442E4">
      <w:pPr>
        <w:spacing w:line="360" w:lineRule="auto"/>
        <w:rPr>
          <w:i/>
          <w:sz w:val="20"/>
          <w:szCs w:val="20"/>
        </w:rPr>
      </w:pPr>
      <w:r w:rsidRPr="00A442E4">
        <w:rPr>
          <w:i/>
          <w:sz w:val="20"/>
          <w:szCs w:val="20"/>
        </w:rPr>
        <w:t>T</w:t>
      </w:r>
      <w:r w:rsidRPr="00A442E4">
        <w:rPr>
          <w:i/>
          <w:sz w:val="20"/>
          <w:szCs w:val="20"/>
          <w:vertAlign w:val="subscript"/>
        </w:rPr>
        <w:t>2</w:t>
      </w:r>
      <w:r w:rsidRPr="008C6E90">
        <w:rPr>
          <w:i/>
          <w:sz w:val="20"/>
          <w:szCs w:val="20"/>
          <w:vertAlign w:val="subscript"/>
        </w:rPr>
        <w:tab/>
      </w:r>
      <w:r w:rsidRPr="00A442E4">
        <w:rPr>
          <w:sz w:val="20"/>
          <w:szCs w:val="20"/>
        </w:rPr>
        <w:t>is the slab bottom surface temperature</w:t>
      </w:r>
    </w:p>
    <w:p w:rsidR="0003108B" w:rsidRPr="00A442E4" w:rsidRDefault="0003108B" w:rsidP="00A442E4">
      <w:pPr>
        <w:spacing w:line="360" w:lineRule="auto"/>
        <w:rPr>
          <w:sz w:val="20"/>
          <w:szCs w:val="20"/>
        </w:rPr>
      </w:pPr>
      <w:r w:rsidRPr="00A442E4">
        <w:rPr>
          <w:i/>
          <w:sz w:val="20"/>
          <w:szCs w:val="20"/>
        </w:rPr>
        <w:t>T</w:t>
      </w:r>
      <w:r w:rsidRPr="00A442E4">
        <w:rPr>
          <w:i/>
          <w:sz w:val="20"/>
          <w:szCs w:val="20"/>
          <w:vertAlign w:val="subscript"/>
        </w:rPr>
        <w:t>1</w:t>
      </w:r>
      <w:r w:rsidRPr="008C6E90">
        <w:rPr>
          <w:i/>
          <w:sz w:val="20"/>
          <w:szCs w:val="20"/>
          <w:vertAlign w:val="subscript"/>
        </w:rPr>
        <w:tab/>
      </w:r>
      <w:r w:rsidRPr="00A442E4">
        <w:rPr>
          <w:sz w:val="20"/>
          <w:szCs w:val="20"/>
        </w:rPr>
        <w:t>is the slab top surface temperature</w:t>
      </w:r>
    </w:p>
    <w:p w:rsidR="0003108B" w:rsidRPr="00A442E4" w:rsidRDefault="0003108B" w:rsidP="00A442E4">
      <w:pPr>
        <w:spacing w:line="360" w:lineRule="auto"/>
        <w:rPr>
          <w:i/>
          <w:sz w:val="20"/>
          <w:szCs w:val="20"/>
        </w:rPr>
      </w:pPr>
      <w:r w:rsidRPr="00A442E4">
        <w:rPr>
          <w:i/>
          <w:sz w:val="20"/>
          <w:szCs w:val="20"/>
        </w:rPr>
        <w:t xml:space="preserve">L </w:t>
      </w:r>
      <w:r w:rsidRPr="008C6E90">
        <w:rPr>
          <w:i/>
          <w:sz w:val="20"/>
          <w:szCs w:val="20"/>
        </w:rPr>
        <w:tab/>
      </w:r>
      <w:r w:rsidRPr="00A442E4">
        <w:rPr>
          <w:sz w:val="20"/>
          <w:szCs w:val="20"/>
        </w:rPr>
        <w:t>is the length of the longer span of the slab</w:t>
      </w:r>
    </w:p>
    <w:p w:rsidR="0003108B" w:rsidRPr="00A442E4" w:rsidRDefault="0003108B" w:rsidP="00A442E4">
      <w:pPr>
        <w:spacing w:line="360" w:lineRule="auto"/>
        <w:rPr>
          <w:i/>
          <w:sz w:val="20"/>
          <w:szCs w:val="20"/>
        </w:rPr>
      </w:pPr>
      <w:proofErr w:type="gramStart"/>
      <w:r w:rsidRPr="00A442E4">
        <w:rPr>
          <w:i/>
          <w:sz w:val="20"/>
          <w:szCs w:val="20"/>
        </w:rPr>
        <w:t>l</w:t>
      </w:r>
      <w:proofErr w:type="gramEnd"/>
      <w:r w:rsidRPr="008C6E90">
        <w:rPr>
          <w:i/>
          <w:sz w:val="20"/>
          <w:szCs w:val="20"/>
        </w:rPr>
        <w:tab/>
      </w:r>
      <w:r w:rsidRPr="00A442E4">
        <w:rPr>
          <w:sz w:val="20"/>
          <w:szCs w:val="20"/>
        </w:rPr>
        <w:t>is the length of the shorter span of the slab</w:t>
      </w:r>
    </w:p>
    <w:p w:rsidR="0003108B" w:rsidRPr="00A442E4" w:rsidRDefault="0003108B" w:rsidP="00A442E4">
      <w:pPr>
        <w:spacing w:line="360" w:lineRule="auto"/>
        <w:ind w:right="-568"/>
        <w:rPr>
          <w:sz w:val="20"/>
          <w:szCs w:val="20"/>
        </w:rPr>
      </w:pPr>
      <w:proofErr w:type="gramStart"/>
      <w:r w:rsidRPr="00A442E4">
        <w:rPr>
          <w:i/>
          <w:sz w:val="20"/>
          <w:szCs w:val="20"/>
        </w:rPr>
        <w:t>h</w:t>
      </w:r>
      <w:proofErr w:type="gramEnd"/>
      <w:r w:rsidRPr="008C6E90">
        <w:rPr>
          <w:sz w:val="20"/>
          <w:szCs w:val="20"/>
        </w:rPr>
        <w:tab/>
      </w:r>
      <w:r w:rsidRPr="00A442E4">
        <w:rPr>
          <w:sz w:val="20"/>
          <w:szCs w:val="20"/>
        </w:rPr>
        <w:t xml:space="preserve">is the effective depth of the slab, as given in BS EN1994-1-2 </w:t>
      </w:r>
    </w:p>
    <w:p w:rsidR="0003108B" w:rsidRPr="00A442E4" w:rsidRDefault="0003108B" w:rsidP="00A442E4">
      <w:pPr>
        <w:spacing w:line="360" w:lineRule="auto"/>
        <w:rPr>
          <w:sz w:val="20"/>
          <w:szCs w:val="20"/>
        </w:rPr>
      </w:pPr>
      <w:proofErr w:type="spellStart"/>
      <w:proofErr w:type="gramStart"/>
      <w:r w:rsidRPr="00A442E4">
        <w:rPr>
          <w:i/>
          <w:sz w:val="20"/>
          <w:szCs w:val="20"/>
        </w:rPr>
        <w:t>f</w:t>
      </w:r>
      <w:r w:rsidRPr="00A442E4">
        <w:rPr>
          <w:i/>
          <w:sz w:val="20"/>
          <w:szCs w:val="20"/>
          <w:vertAlign w:val="subscript"/>
        </w:rPr>
        <w:t>y</w:t>
      </w:r>
      <w:proofErr w:type="spellEnd"/>
      <w:proofErr w:type="gramEnd"/>
      <w:r w:rsidRPr="00A442E4">
        <w:rPr>
          <w:sz w:val="20"/>
          <w:szCs w:val="20"/>
        </w:rPr>
        <w:t xml:space="preserve"> </w:t>
      </w:r>
      <w:r w:rsidRPr="008C6E90">
        <w:rPr>
          <w:sz w:val="20"/>
          <w:szCs w:val="20"/>
        </w:rPr>
        <w:tab/>
      </w:r>
      <w:r w:rsidRPr="00A442E4">
        <w:rPr>
          <w:sz w:val="20"/>
          <w:szCs w:val="20"/>
        </w:rPr>
        <w:t>is reinforcement yield stress</w:t>
      </w:r>
    </w:p>
    <w:p w:rsidR="0003108B" w:rsidRPr="00A442E4" w:rsidRDefault="0003108B" w:rsidP="00A442E4">
      <w:pPr>
        <w:spacing w:line="360" w:lineRule="auto"/>
        <w:rPr>
          <w:sz w:val="20"/>
          <w:szCs w:val="20"/>
        </w:rPr>
      </w:pPr>
      <w:r w:rsidRPr="00A442E4">
        <w:rPr>
          <w:i/>
          <w:sz w:val="20"/>
          <w:szCs w:val="20"/>
        </w:rPr>
        <w:t>E</w:t>
      </w:r>
      <w:r w:rsidRPr="008C6E90">
        <w:rPr>
          <w:i/>
          <w:sz w:val="20"/>
          <w:szCs w:val="20"/>
        </w:rPr>
        <w:tab/>
      </w:r>
      <w:r w:rsidRPr="00A442E4">
        <w:rPr>
          <w:sz w:val="20"/>
          <w:szCs w:val="20"/>
        </w:rPr>
        <w:t>is the elastic modulus of the reinforcement</w:t>
      </w:r>
    </w:p>
    <w:p w:rsidR="0003108B" w:rsidRPr="00A442E4" w:rsidRDefault="0003108B" w:rsidP="008C6E90">
      <w:pPr>
        <w:spacing w:line="360" w:lineRule="auto"/>
        <w:rPr>
          <w:b/>
          <w:sz w:val="20"/>
          <w:szCs w:val="20"/>
        </w:rPr>
      </w:pPr>
      <w:r w:rsidRPr="008C6E90">
        <w:rPr>
          <w:b/>
          <w:sz w:val="20"/>
          <w:szCs w:val="20"/>
        </w:rPr>
        <w:br w:type="page"/>
      </w:r>
    </w:p>
    <w:p w:rsidR="0003108B" w:rsidRPr="00A442E4" w:rsidRDefault="0003108B" w:rsidP="00A442E4">
      <w:pPr>
        <w:spacing w:line="360" w:lineRule="auto"/>
        <w:outlineLvl w:val="0"/>
        <w:rPr>
          <w:b/>
          <w:sz w:val="20"/>
          <w:szCs w:val="20"/>
        </w:rPr>
      </w:pPr>
      <w:r w:rsidRPr="00A442E4">
        <w:rPr>
          <w:b/>
          <w:sz w:val="20"/>
          <w:szCs w:val="20"/>
        </w:rPr>
        <w:lastRenderedPageBreak/>
        <w:t>1. Introduction</w:t>
      </w:r>
    </w:p>
    <w:p w:rsidR="0003108B" w:rsidRPr="00A442E4" w:rsidRDefault="0003108B" w:rsidP="00A442E4">
      <w:pPr>
        <w:spacing w:line="360" w:lineRule="auto"/>
        <w:rPr>
          <w:sz w:val="20"/>
          <w:szCs w:val="20"/>
        </w:rPr>
      </w:pPr>
      <w:r w:rsidRPr="00A442E4">
        <w:rPr>
          <w:sz w:val="20"/>
          <w:szCs w:val="20"/>
        </w:rPr>
        <w:t xml:space="preserve">Recent trends aimed at ensuring the fire resistance of structures have encouraged increased use of performance-based approaches, which are now often categorised as structural fire engineering. These methods attempt to model, to different degrees, the actual behaviour of the three-dimensional structure, taking account of realistic fire exposure scenarios, the loss of some load from the ultimate to the fire limit state, actual material behaviour at elevated temperatures and interaction between various parts of the structure. </w:t>
      </w:r>
    </w:p>
    <w:p w:rsidR="0003108B" w:rsidRPr="00A442E4" w:rsidRDefault="0003108B" w:rsidP="00A442E4">
      <w:pPr>
        <w:spacing w:line="360" w:lineRule="auto"/>
        <w:rPr>
          <w:sz w:val="20"/>
          <w:szCs w:val="20"/>
        </w:rPr>
      </w:pPr>
    </w:p>
    <w:p w:rsidR="0003108B" w:rsidRPr="00A442E4" w:rsidRDefault="0003108B" w:rsidP="00A442E4">
      <w:pPr>
        <w:spacing w:line="360" w:lineRule="auto"/>
        <w:rPr>
          <w:sz w:val="20"/>
          <w:szCs w:val="20"/>
        </w:rPr>
      </w:pPr>
      <w:r w:rsidRPr="00A442E4">
        <w:rPr>
          <w:sz w:val="20"/>
          <w:szCs w:val="20"/>
        </w:rPr>
        <w:t>Assessment of the real behaviour of structures in fire has shown that the traditional practice of protecting all exposed steelwork can be wasteful in steel-framed buildings with composite floors, since partially-protected composite floors can generate sufficient strength to carry considerable loading at the fire limit state, through a mechanism known as tensile membrane action, provided that fire-</w:t>
      </w:r>
      <w:proofErr w:type="spellStart"/>
      <w:r w:rsidRPr="00A442E4">
        <w:rPr>
          <w:sz w:val="20"/>
          <w:szCs w:val="20"/>
        </w:rPr>
        <w:t>compartmentation</w:t>
      </w:r>
      <w:proofErr w:type="spellEnd"/>
      <w:r w:rsidRPr="00A442E4">
        <w:rPr>
          <w:sz w:val="20"/>
          <w:szCs w:val="20"/>
        </w:rPr>
        <w:t xml:space="preserve"> is maintained and that connections are designed with sufficient strength and ductility.</w:t>
      </w:r>
    </w:p>
    <w:p w:rsidR="0003108B" w:rsidRPr="00A442E4" w:rsidRDefault="0003108B" w:rsidP="00A442E4">
      <w:pPr>
        <w:spacing w:line="360" w:lineRule="auto"/>
        <w:rPr>
          <w:sz w:val="20"/>
          <w:szCs w:val="20"/>
        </w:rPr>
      </w:pPr>
    </w:p>
    <w:p w:rsidR="0003108B" w:rsidRPr="00A442E4" w:rsidRDefault="0003108B" w:rsidP="00A442E4">
      <w:pPr>
        <w:spacing w:line="360" w:lineRule="auto"/>
        <w:rPr>
          <w:sz w:val="20"/>
          <w:szCs w:val="20"/>
        </w:rPr>
      </w:pPr>
      <w:r w:rsidRPr="00A442E4">
        <w:rPr>
          <w:sz w:val="20"/>
          <w:szCs w:val="20"/>
        </w:rPr>
        <w:t>Tensile membrane action is a load-bearing mechanism of thin slabs under large vertical displacement, in which an induced radial membrane tension field in the central area of the slab is balanced by a peripheral ring of compression. In this mechanism the slab capacity increases with increasing deflection. This load-bearing action offers economic advantages for composite floor construction, since a large number of the steel floor beams can be left unprotected.</w:t>
      </w:r>
    </w:p>
    <w:p w:rsidR="0003108B" w:rsidRPr="00A442E4" w:rsidRDefault="0003108B" w:rsidP="00A442E4">
      <w:pPr>
        <w:spacing w:line="360" w:lineRule="auto"/>
        <w:rPr>
          <w:sz w:val="20"/>
          <w:szCs w:val="20"/>
        </w:rPr>
      </w:pPr>
    </w:p>
    <w:p w:rsidR="0003108B" w:rsidRPr="00A442E4" w:rsidRDefault="0003108B" w:rsidP="00A442E4">
      <w:pPr>
        <w:spacing w:line="360" w:lineRule="auto"/>
        <w:rPr>
          <w:sz w:val="20"/>
          <w:szCs w:val="20"/>
        </w:rPr>
      </w:pPr>
      <w:r w:rsidRPr="00A442E4">
        <w:rPr>
          <w:sz w:val="20"/>
          <w:szCs w:val="20"/>
        </w:rPr>
        <w:t>The BRE membrane action method, devised by Bailey and Moore (2000), is one such procedure, which assesses composite slab capacity in fire by estimating the enhancement which tensile membrane action makes to the flexural capacity of the slab. It is based on rigid</w:t>
      </w:r>
      <w:r w:rsidRPr="008C6E90">
        <w:rPr>
          <w:sz w:val="20"/>
          <w:szCs w:val="20"/>
        </w:rPr>
        <w:noBreakHyphen/>
      </w:r>
      <w:r w:rsidRPr="00A442E4">
        <w:rPr>
          <w:sz w:val="20"/>
          <w:szCs w:val="20"/>
        </w:rPr>
        <w:t xml:space="preserve">plastic theory with large change of geometry. The method assumes that a composite floor is divided into rectangular fire-resisting </w:t>
      </w:r>
      <w:r w:rsidRPr="008C6E90">
        <w:rPr>
          <w:sz w:val="20"/>
          <w:szCs w:val="20"/>
        </w:rPr>
        <w:t>‘</w:t>
      </w:r>
      <w:r w:rsidRPr="00A442E4">
        <w:rPr>
          <w:sz w:val="20"/>
          <w:szCs w:val="20"/>
        </w:rPr>
        <w:t>slab panels</w:t>
      </w:r>
      <w:r w:rsidRPr="008C6E90">
        <w:rPr>
          <w:sz w:val="20"/>
          <w:szCs w:val="20"/>
        </w:rPr>
        <w:t>’</w:t>
      </w:r>
      <w:r w:rsidRPr="00A442E4">
        <w:rPr>
          <w:sz w:val="20"/>
          <w:szCs w:val="20"/>
        </w:rPr>
        <w:t xml:space="preserve"> (see Figure</w:t>
      </w:r>
      <w:r w:rsidRPr="008C6E90">
        <w:rPr>
          <w:sz w:val="20"/>
          <w:szCs w:val="20"/>
        </w:rPr>
        <w:t> </w:t>
      </w:r>
      <w:r w:rsidRPr="00A442E4">
        <w:rPr>
          <w:sz w:val="20"/>
          <w:szCs w:val="20"/>
        </w:rPr>
        <w:t>1), composed internally of parallel unprotected composite beams, vertically supported at their edges which usually lie on the building</w:t>
      </w:r>
      <w:r w:rsidRPr="008C6E90">
        <w:rPr>
          <w:sz w:val="20"/>
          <w:szCs w:val="20"/>
        </w:rPr>
        <w:t>’</w:t>
      </w:r>
      <w:r w:rsidRPr="00A442E4">
        <w:rPr>
          <w:sz w:val="20"/>
          <w:szCs w:val="20"/>
        </w:rPr>
        <w:t>s column grid.</w:t>
      </w:r>
    </w:p>
    <w:p w:rsidR="0003108B" w:rsidRPr="00A442E4" w:rsidRDefault="0003108B" w:rsidP="00A442E4">
      <w:pPr>
        <w:spacing w:line="360" w:lineRule="auto"/>
        <w:rPr>
          <w:sz w:val="20"/>
          <w:szCs w:val="20"/>
        </w:rPr>
      </w:pPr>
    </w:p>
    <w:p w:rsidR="0003108B" w:rsidRDefault="0003108B" w:rsidP="00A442E4">
      <w:pPr>
        <w:spacing w:line="360" w:lineRule="auto"/>
        <w:rPr>
          <w:sz w:val="20"/>
          <w:szCs w:val="20"/>
        </w:rPr>
      </w:pPr>
      <w:r w:rsidRPr="00A442E4">
        <w:rPr>
          <w:sz w:val="20"/>
          <w:szCs w:val="20"/>
        </w:rPr>
        <w:t>In fire the unprotected steel beams within these panels lose strength, and their loads are progressively borne by the highly deflected thin concrete slab in biaxial bending. The increase in slab resistance is calculated as an enhancement of the traditional small-deflection yield-line capacity of the slab panel. This enhancement is dependent on the slab</w:t>
      </w:r>
      <w:r w:rsidRPr="008C6E90">
        <w:rPr>
          <w:sz w:val="20"/>
          <w:szCs w:val="20"/>
        </w:rPr>
        <w:t>’</w:t>
      </w:r>
      <w:r w:rsidRPr="00A442E4">
        <w:rPr>
          <w:sz w:val="20"/>
          <w:szCs w:val="20"/>
        </w:rPr>
        <w:t xml:space="preserve">s aspect ratio, and increases with deflection. The method, initially developed for </w:t>
      </w:r>
      <w:proofErr w:type="spellStart"/>
      <w:r w:rsidRPr="00A442E4">
        <w:rPr>
          <w:sz w:val="20"/>
          <w:szCs w:val="20"/>
        </w:rPr>
        <w:t>isotropically</w:t>
      </w:r>
      <w:proofErr w:type="spellEnd"/>
      <w:r w:rsidRPr="00A442E4">
        <w:rPr>
          <w:sz w:val="20"/>
          <w:szCs w:val="20"/>
        </w:rPr>
        <w:t xml:space="preserve"> reinforced slabs, has been extended to include orthotropic reinforcement. A more recent update by Bailey and </w:t>
      </w:r>
      <w:proofErr w:type="spellStart"/>
      <w:r w:rsidRPr="00A442E4">
        <w:rPr>
          <w:sz w:val="20"/>
          <w:szCs w:val="20"/>
        </w:rPr>
        <w:t>Toh</w:t>
      </w:r>
      <w:proofErr w:type="spellEnd"/>
      <w:r w:rsidRPr="00A442E4">
        <w:rPr>
          <w:sz w:val="20"/>
          <w:szCs w:val="20"/>
        </w:rPr>
        <w:t xml:space="preserve"> (2007) considers more realistic in-plane stress distributions and compressive failure of concrete slabs. The deflection of the slab has to be limited in order to avoid an integrity (breach of </w:t>
      </w:r>
      <w:proofErr w:type="spellStart"/>
      <w:r w:rsidRPr="00A442E4">
        <w:rPr>
          <w:sz w:val="20"/>
          <w:szCs w:val="20"/>
        </w:rPr>
        <w:t>compartmentation</w:t>
      </w:r>
      <w:proofErr w:type="spellEnd"/>
      <w:r w:rsidRPr="00A442E4">
        <w:rPr>
          <w:sz w:val="20"/>
          <w:szCs w:val="20"/>
        </w:rPr>
        <w:t xml:space="preserve">) failure. Failure is defined either as tensile fracture of the reinforcement in the middle of the slab panel or as compressive crushing of concrete at its corners. The deflection </w:t>
      </w:r>
      <w:r w:rsidRPr="00A442E4">
        <w:rPr>
          <w:sz w:val="20"/>
          <w:szCs w:val="20"/>
        </w:rPr>
        <w:lastRenderedPageBreak/>
        <w:t>limit, shown as Equation 1, is defined on the basis of thermal and mechanical deflections and test observations</w:t>
      </w:r>
      <w:r>
        <w:rPr>
          <w:sz w:val="20"/>
          <w:szCs w:val="20"/>
        </w:rPr>
        <w:t>.</w:t>
      </w:r>
    </w:p>
    <w:p w:rsidR="0003108B" w:rsidRPr="00A442E4" w:rsidRDefault="0003108B" w:rsidP="00A442E4">
      <w:pPr>
        <w:spacing w:line="360" w:lineRule="auto"/>
        <w:rPr>
          <w:sz w:val="20"/>
          <w:szCs w:val="20"/>
        </w:rPr>
      </w:pPr>
    </w:p>
    <w:p w:rsidR="0003108B" w:rsidRPr="00A442E4" w:rsidRDefault="0003108B" w:rsidP="00A442E4">
      <w:pPr>
        <w:spacing w:line="360" w:lineRule="auto"/>
        <w:rPr>
          <w:sz w:val="20"/>
          <w:szCs w:val="20"/>
        </w:rPr>
      </w:pPr>
      <w:r w:rsidRPr="00A442E4">
        <w:rPr>
          <w:position w:val="-28"/>
          <w:sz w:val="20"/>
          <w:szCs w:val="20"/>
        </w:rPr>
        <w:object w:dxaOrig="37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38.25pt" o:ole="">
            <v:imagedata r:id="rId9" o:title=""/>
          </v:shape>
          <o:OLEObject Type="Embed" ProgID="Equation.3" ShapeID="_x0000_i1025" DrawAspect="Content" ObjectID="_1419235265" r:id="rId10"/>
        </w:object>
      </w:r>
    </w:p>
    <w:p w:rsidR="0003108B" w:rsidRPr="00A442E4" w:rsidRDefault="0003108B" w:rsidP="00A442E4">
      <w:pPr>
        <w:spacing w:line="360" w:lineRule="auto"/>
        <w:rPr>
          <w:sz w:val="20"/>
          <w:szCs w:val="20"/>
        </w:rPr>
      </w:pPr>
      <w:r w:rsidRPr="00A442E4">
        <w:rPr>
          <w:sz w:val="20"/>
          <w:szCs w:val="20"/>
        </w:rPr>
        <w:t>1.</w:t>
      </w:r>
    </w:p>
    <w:p w:rsidR="0003108B" w:rsidRPr="00A442E4" w:rsidRDefault="0003108B" w:rsidP="008C6E90">
      <w:pPr>
        <w:spacing w:line="360" w:lineRule="auto"/>
        <w:jc w:val="both"/>
        <w:rPr>
          <w:sz w:val="20"/>
          <w:szCs w:val="20"/>
        </w:rPr>
      </w:pPr>
    </w:p>
    <w:p w:rsidR="0003108B" w:rsidRPr="00A442E4" w:rsidRDefault="0003108B" w:rsidP="008C6E90">
      <w:pPr>
        <w:spacing w:line="360" w:lineRule="auto"/>
        <w:jc w:val="both"/>
        <w:rPr>
          <w:sz w:val="20"/>
          <w:szCs w:val="20"/>
        </w:rPr>
      </w:pPr>
      <w:proofErr w:type="gramStart"/>
      <w:r w:rsidRPr="00A442E4">
        <w:rPr>
          <w:sz w:val="20"/>
          <w:szCs w:val="20"/>
        </w:rPr>
        <w:t>The first term of Equation 1.</w:t>
      </w:r>
      <w:proofErr w:type="gramEnd"/>
      <w:r w:rsidRPr="00A442E4">
        <w:rPr>
          <w:sz w:val="20"/>
          <w:szCs w:val="20"/>
        </w:rPr>
        <w:t xml:space="preserve"> </w:t>
      </w:r>
      <w:proofErr w:type="gramStart"/>
      <w:r w:rsidRPr="00A442E4">
        <w:rPr>
          <w:sz w:val="20"/>
          <w:szCs w:val="20"/>
        </w:rPr>
        <w:t>accounts</w:t>
      </w:r>
      <w:proofErr w:type="gramEnd"/>
      <w:r w:rsidRPr="00A442E4">
        <w:rPr>
          <w:sz w:val="20"/>
          <w:szCs w:val="20"/>
        </w:rPr>
        <w:t xml:space="preserve"> for the </w:t>
      </w:r>
      <w:r w:rsidRPr="008C6E90">
        <w:rPr>
          <w:sz w:val="20"/>
          <w:szCs w:val="20"/>
        </w:rPr>
        <w:t>‘</w:t>
      </w:r>
      <w:r w:rsidRPr="00A442E4">
        <w:rPr>
          <w:sz w:val="20"/>
          <w:szCs w:val="20"/>
        </w:rPr>
        <w:t>thermal bowing</w:t>
      </w:r>
      <w:r w:rsidRPr="008C6E90">
        <w:rPr>
          <w:sz w:val="20"/>
          <w:szCs w:val="20"/>
        </w:rPr>
        <w:t>’</w:t>
      </w:r>
      <w:r w:rsidRPr="00A442E4">
        <w:rPr>
          <w:sz w:val="20"/>
          <w:szCs w:val="20"/>
        </w:rPr>
        <w:t xml:space="preserve"> deflection, assuming a linear temperature gradient through the depth of a horizontally-unrestrained concrete slab. The second part considers deflections caused by applying an average tensile mechanical reinforcement strain, of 50% of its yield strain at 20 °C, across the longer span of the slab, assuming that its horizontal span stays unchanged. This part of the allowable deflection is further limited to </w:t>
      </w:r>
      <w:r w:rsidRPr="00A442E4">
        <w:rPr>
          <w:i/>
          <w:sz w:val="20"/>
          <w:szCs w:val="20"/>
        </w:rPr>
        <w:t>l</w:t>
      </w:r>
      <w:r w:rsidRPr="00A442E4">
        <w:rPr>
          <w:sz w:val="20"/>
          <w:szCs w:val="20"/>
        </w:rPr>
        <w:t>/30. In normal structural mechanics terms this superposition of two components of the total deflection is not acceptable, because of their incompatible support assumptions, but nevertheless it is the deflection limit used. The limiting deflection has been calibrated to accord with large-scale fire test observations at Cardington (Bailey, 2000). In particular, in Equation 1 α is taken as 18 x 10</w:t>
      </w:r>
      <w:r w:rsidRPr="00A442E4">
        <w:rPr>
          <w:sz w:val="20"/>
          <w:szCs w:val="20"/>
          <w:vertAlign w:val="superscript"/>
        </w:rPr>
        <w:t>-6</w:t>
      </w:r>
      <w:r w:rsidRPr="00A442E4">
        <w:rPr>
          <w:sz w:val="20"/>
          <w:szCs w:val="20"/>
        </w:rPr>
        <w:t>/°C, the recommended constant value for simple calculation, for normal-weight concrete, and the difference (</w:t>
      </w:r>
      <w:r w:rsidRPr="00A442E4">
        <w:rPr>
          <w:i/>
          <w:sz w:val="20"/>
          <w:szCs w:val="20"/>
        </w:rPr>
        <w:t>T</w:t>
      </w:r>
      <w:r w:rsidRPr="00A442E4">
        <w:rPr>
          <w:i/>
          <w:sz w:val="20"/>
          <w:szCs w:val="20"/>
          <w:vertAlign w:val="subscript"/>
        </w:rPr>
        <w:t xml:space="preserve">2 </w:t>
      </w:r>
      <w:r w:rsidRPr="00A442E4">
        <w:rPr>
          <w:i/>
          <w:sz w:val="20"/>
          <w:szCs w:val="20"/>
        </w:rPr>
        <w:t>- T</w:t>
      </w:r>
      <w:r w:rsidRPr="00A442E4">
        <w:rPr>
          <w:i/>
          <w:sz w:val="20"/>
          <w:szCs w:val="20"/>
          <w:vertAlign w:val="subscript"/>
        </w:rPr>
        <w:t>1</w:t>
      </w:r>
      <w:r w:rsidRPr="00A442E4">
        <w:rPr>
          <w:sz w:val="20"/>
          <w:szCs w:val="20"/>
        </w:rPr>
        <w:t>) between the bottom and top slab surface temperatures is taken as 770°C for fire resistance periods up to 90 min, and 900 °C for 2 h, based on the test observations.</w:t>
      </w:r>
    </w:p>
    <w:p w:rsidR="0003108B" w:rsidRPr="00A442E4" w:rsidRDefault="0003108B" w:rsidP="00A442E4">
      <w:pPr>
        <w:spacing w:line="360" w:lineRule="auto"/>
        <w:rPr>
          <w:sz w:val="20"/>
          <w:szCs w:val="20"/>
        </w:rPr>
      </w:pPr>
    </w:p>
    <w:p w:rsidR="0003108B" w:rsidRPr="00A442E4" w:rsidRDefault="0003108B" w:rsidP="00A442E4">
      <w:pPr>
        <w:spacing w:line="360" w:lineRule="auto"/>
        <w:rPr>
          <w:sz w:val="20"/>
          <w:szCs w:val="20"/>
        </w:rPr>
      </w:pPr>
      <w:r w:rsidRPr="00A442E4">
        <w:rPr>
          <w:sz w:val="20"/>
          <w:szCs w:val="20"/>
        </w:rPr>
        <w:t xml:space="preserve">Previous studies </w:t>
      </w:r>
      <w:r w:rsidR="00D425AF" w:rsidRPr="00D425AF">
        <w:rPr>
          <w:sz w:val="20"/>
          <w:szCs w:val="20"/>
        </w:rPr>
        <w:t>(support with literature reference)</w:t>
      </w:r>
      <w:r w:rsidRPr="00A442E4">
        <w:rPr>
          <w:sz w:val="20"/>
          <w:szCs w:val="20"/>
        </w:rPr>
        <w:t xml:space="preserve"> have compared the Bailey-BRE method both with experiments and with more detailed analytical approaches based on finite-element analysis. These have highlighted a number of shortcomings in the simplified method. One which has attracted particular interest is the effect of increased slab reinforcement ratios. The Bailey-BRE method indicates that a modest increase in the reinforcement ratio can result in a disproportionately large increase in composite slab capacity, whereas the finite-element analyses indicate a much more limited increase. </w:t>
      </w:r>
    </w:p>
    <w:p w:rsidR="0003108B" w:rsidRDefault="0003108B" w:rsidP="00A442E4">
      <w:pPr>
        <w:spacing w:line="360" w:lineRule="auto"/>
        <w:outlineLvl w:val="0"/>
        <w:rPr>
          <w:b/>
          <w:sz w:val="20"/>
          <w:szCs w:val="20"/>
        </w:rPr>
      </w:pPr>
    </w:p>
    <w:p w:rsidR="0003108B" w:rsidRPr="00A442E4" w:rsidRDefault="0003108B" w:rsidP="00A442E4">
      <w:pPr>
        <w:spacing w:line="360" w:lineRule="auto"/>
        <w:outlineLvl w:val="0"/>
        <w:rPr>
          <w:b/>
          <w:sz w:val="20"/>
          <w:szCs w:val="20"/>
        </w:rPr>
      </w:pPr>
      <w:r w:rsidRPr="00A442E4">
        <w:rPr>
          <w:b/>
          <w:sz w:val="20"/>
          <w:szCs w:val="20"/>
        </w:rPr>
        <w:t>2. Studies comparing Vulcan and the Bailey-BRE method</w:t>
      </w:r>
    </w:p>
    <w:p w:rsidR="0003108B" w:rsidRPr="00A442E4" w:rsidRDefault="0003108B" w:rsidP="00A442E4">
      <w:pPr>
        <w:spacing w:line="360" w:lineRule="auto"/>
        <w:rPr>
          <w:sz w:val="20"/>
          <w:szCs w:val="20"/>
        </w:rPr>
      </w:pPr>
      <w:r w:rsidRPr="00A442E4">
        <w:rPr>
          <w:sz w:val="20"/>
          <w:szCs w:val="20"/>
        </w:rPr>
        <w:t xml:space="preserve">The three slab panel layouts shown in Figure 3 were used for the structural analyses. The 9 m x 6 m, 9 m x 9 m and 9 m x 12 m panels were designed for 60 min standard fire resistance, assuming normal-weight concrete of cube strength 40 </w:t>
      </w:r>
      <w:proofErr w:type="spellStart"/>
      <w:r w:rsidRPr="00A442E4">
        <w:rPr>
          <w:sz w:val="20"/>
          <w:szCs w:val="20"/>
        </w:rPr>
        <w:t>MPa</w:t>
      </w:r>
      <w:proofErr w:type="spellEnd"/>
      <w:r w:rsidRPr="00A442E4">
        <w:rPr>
          <w:sz w:val="20"/>
          <w:szCs w:val="20"/>
        </w:rPr>
        <w:t xml:space="preserve"> and a characteristic imposed load of </w:t>
      </w:r>
      <w:proofErr w:type="gramStart"/>
      <w:r w:rsidRPr="00A442E4">
        <w:rPr>
          <w:sz w:val="20"/>
          <w:szCs w:val="20"/>
        </w:rPr>
        <w:t xml:space="preserve">5.0 </w:t>
      </w:r>
      <w:proofErr w:type="spellStart"/>
      <w:r w:rsidRPr="00A442E4">
        <w:rPr>
          <w:sz w:val="20"/>
          <w:szCs w:val="20"/>
        </w:rPr>
        <w:t>kN</w:t>
      </w:r>
      <w:proofErr w:type="spellEnd"/>
      <w:r w:rsidRPr="00A442E4">
        <w:rPr>
          <w:sz w:val="20"/>
          <w:szCs w:val="20"/>
        </w:rPr>
        <w:t>/m</w:t>
      </w:r>
      <w:r w:rsidRPr="00A442E4">
        <w:rPr>
          <w:sz w:val="20"/>
          <w:szCs w:val="20"/>
          <w:vertAlign w:val="superscript"/>
        </w:rPr>
        <w:t>2</w:t>
      </w:r>
      <w:r w:rsidRPr="00A442E4">
        <w:rPr>
          <w:sz w:val="20"/>
          <w:szCs w:val="20"/>
        </w:rPr>
        <w:t>,</w:t>
      </w:r>
      <w:proofErr w:type="gramEnd"/>
      <w:r w:rsidRPr="00A442E4">
        <w:rPr>
          <w:sz w:val="20"/>
          <w:szCs w:val="20"/>
        </w:rPr>
        <w:t xml:space="preserve"> plus 1.7 </w:t>
      </w:r>
      <w:proofErr w:type="spellStart"/>
      <w:r w:rsidRPr="00A442E4">
        <w:rPr>
          <w:sz w:val="20"/>
          <w:szCs w:val="20"/>
        </w:rPr>
        <w:t>kN</w:t>
      </w:r>
      <w:proofErr w:type="spellEnd"/>
      <w:r w:rsidRPr="00A442E4">
        <w:rPr>
          <w:sz w:val="20"/>
          <w:szCs w:val="20"/>
        </w:rPr>
        <w:t>/m</w:t>
      </w:r>
      <w:r w:rsidRPr="00A442E4">
        <w:rPr>
          <w:sz w:val="20"/>
          <w:szCs w:val="20"/>
          <w:vertAlign w:val="superscript"/>
        </w:rPr>
        <w:t>2</w:t>
      </w:r>
      <w:r w:rsidRPr="00A442E4">
        <w:rPr>
          <w:sz w:val="20"/>
          <w:szCs w:val="20"/>
        </w:rPr>
        <w:t xml:space="preserve"> for ceilings and services. Using the trapezoidal slab profile shown in Figure 4, the requirements of BS 5950-3 (1990) assuming full composite action between steel and concrete, and simple support to all beams, in line with common British engineering practice. The </w:t>
      </w:r>
      <w:r w:rsidRPr="008C6E90">
        <w:rPr>
          <w:sz w:val="20"/>
          <w:szCs w:val="20"/>
        </w:rPr>
        <w:t>‘</w:t>
      </w:r>
      <w:r w:rsidRPr="00A442E4">
        <w:rPr>
          <w:sz w:val="20"/>
          <w:szCs w:val="20"/>
        </w:rPr>
        <w:t>Office</w:t>
      </w:r>
      <w:r w:rsidRPr="008C6E90">
        <w:rPr>
          <w:sz w:val="20"/>
          <w:szCs w:val="20"/>
        </w:rPr>
        <w:t>’</w:t>
      </w:r>
      <w:r w:rsidRPr="00A442E4">
        <w:rPr>
          <w:sz w:val="20"/>
          <w:szCs w:val="20"/>
        </w:rPr>
        <w:t xml:space="preserve"> usage class is assumed, so that the partial safety factors applied to loadings are 1.4 (dead) and 1.6 (imposed) for ultimate limit state (ULS) and 1.0 and 0.5 for fire limit state. The assumed uniform</w:t>
      </w:r>
      <w:r w:rsidRPr="00A442E4" w:rsidDel="004737BB">
        <w:rPr>
          <w:sz w:val="20"/>
          <w:szCs w:val="20"/>
        </w:rPr>
        <w:t xml:space="preserve"> </w:t>
      </w:r>
      <w:r w:rsidRPr="00A442E4">
        <w:rPr>
          <w:sz w:val="20"/>
          <w:szCs w:val="20"/>
        </w:rPr>
        <w:t xml:space="preserve">cross-section temperatures of the protected beams were limited to 550 °C at </w:t>
      </w:r>
      <w:r w:rsidRPr="00A442E4">
        <w:rPr>
          <w:sz w:val="20"/>
          <w:szCs w:val="20"/>
        </w:rPr>
        <w:lastRenderedPageBreak/>
        <w:t>60 minutes. The ambient- and elevated-temperature designs resulted in specification of the steel beam sizes shown in Table 2.</w:t>
      </w:r>
    </w:p>
    <w:p w:rsidR="0003108B" w:rsidRPr="00A442E4" w:rsidRDefault="0003108B" w:rsidP="00A442E4">
      <w:pPr>
        <w:spacing w:line="360" w:lineRule="auto"/>
        <w:rPr>
          <w:sz w:val="20"/>
          <w:szCs w:val="20"/>
        </w:rPr>
      </w:pPr>
    </w:p>
    <w:p w:rsidR="0003108B" w:rsidRPr="00A442E4" w:rsidRDefault="0003108B" w:rsidP="00A442E4">
      <w:pPr>
        <w:spacing w:line="360" w:lineRule="auto"/>
        <w:rPr>
          <w:sz w:val="20"/>
          <w:szCs w:val="20"/>
        </w:rPr>
      </w:pPr>
      <w:r w:rsidRPr="00A442E4">
        <w:rPr>
          <w:sz w:val="20"/>
          <w:szCs w:val="20"/>
        </w:rPr>
        <w:t xml:space="preserve">As previously mentioned, the assessment in this paper is presented as a comparison between the Bailey-BRE method and Vulcan finite-element analysis. Both the Bailey-BRE method and </w:t>
      </w:r>
      <w:proofErr w:type="spellStart"/>
      <w:r w:rsidRPr="00A442E4">
        <w:rPr>
          <w:sz w:val="20"/>
          <w:szCs w:val="20"/>
        </w:rPr>
        <w:t>Tslab</w:t>
      </w:r>
      <w:proofErr w:type="spellEnd"/>
      <w:r w:rsidRPr="00A442E4">
        <w:rPr>
          <w:sz w:val="20"/>
          <w:szCs w:val="20"/>
        </w:rPr>
        <w:t xml:space="preserve"> implicitly assume that the edges of a slab panel do not deflect vertically. The progressive loss of strength of the intermediate unprotected beams is captured by a reduction in the steel yield stress with temperature. The reduced capacity of the unprotected beams (interpreted as an equivalent floor load intensity) is compared with the total applied load at the fire limit state to determine the vertical displacement required by the reinforced concrete slab (the yield-line capacity of which also reduces with temperature) to generate sufficient enhancement to carry the applied load. The required displacement is then limited to an allowable value. The Vulcan finite-element analysis, on the other hand, properly models the behaviour of protected edge beams, with full vertical support available only at the corners of each panel. Vulcan (</w:t>
      </w:r>
      <w:r w:rsidR="00D425AF">
        <w:rPr>
          <w:sz w:val="20"/>
          <w:szCs w:val="20"/>
        </w:rPr>
        <w:t>support with reference</w:t>
      </w:r>
      <w:r w:rsidRPr="00A442E4">
        <w:rPr>
          <w:sz w:val="20"/>
          <w:szCs w:val="20"/>
        </w:rPr>
        <w:t>) is a three-dimensional geometrically non-linear specialised finite-element program which also considers non-linear elevated-temperature material behaviour</w:t>
      </w:r>
      <w:r w:rsidRPr="00A442E4">
        <w:rPr>
          <w:i/>
          <w:sz w:val="20"/>
          <w:szCs w:val="20"/>
        </w:rPr>
        <w:t>.</w:t>
      </w:r>
      <w:r w:rsidRPr="00A442E4">
        <w:rPr>
          <w:sz w:val="20"/>
          <w:szCs w:val="20"/>
        </w:rPr>
        <w:t xml:space="preserve"> Nonlinear layered rectangular shell elements, capable of modelling both membrane and bending effects, are used to represent reinforced concrete slab behaviour, while beam or column behaviour is adequately modelled with segmented nonlinear beam-column elements. </w:t>
      </w:r>
    </w:p>
    <w:p w:rsidR="0003108B" w:rsidRPr="00A442E4" w:rsidRDefault="0003108B" w:rsidP="00A442E4">
      <w:pPr>
        <w:spacing w:line="360" w:lineRule="auto"/>
        <w:rPr>
          <w:sz w:val="20"/>
          <w:szCs w:val="20"/>
        </w:rPr>
      </w:pPr>
    </w:p>
    <w:p w:rsidR="0003108B" w:rsidRPr="00A442E4" w:rsidRDefault="0003108B" w:rsidP="00A442E4">
      <w:pPr>
        <w:spacing w:line="360" w:lineRule="auto"/>
        <w:rPr>
          <w:sz w:val="20"/>
          <w:szCs w:val="20"/>
        </w:rPr>
      </w:pPr>
      <w:r w:rsidRPr="00A442E4">
        <w:rPr>
          <w:sz w:val="20"/>
          <w:szCs w:val="20"/>
        </w:rPr>
        <w:t>The analyses are initially performed with the standard isotropic reinforcing mesh sizes A142, A193, A252 and A393. These are respectively composed of 6 mm, 7 mm, 8 mm and 10 mm diameter bars of 500 N/mm</w:t>
      </w:r>
      <w:r w:rsidRPr="00A442E4">
        <w:rPr>
          <w:sz w:val="20"/>
          <w:szCs w:val="20"/>
          <w:vertAlign w:val="superscript"/>
        </w:rPr>
        <w:t>2</w:t>
      </w:r>
      <w:r w:rsidRPr="00A442E4">
        <w:rPr>
          <w:sz w:val="20"/>
          <w:szCs w:val="20"/>
        </w:rPr>
        <w:t xml:space="preserve"> yield strength, all at 200 mm spacing. The required mid-slab vertical displacements of the Bailey-BRE approach and the corresponding predicted deflections of the Vulcan analyses are compared with the </w:t>
      </w:r>
      <w:proofErr w:type="spellStart"/>
      <w:r w:rsidRPr="00A442E4">
        <w:rPr>
          <w:sz w:val="20"/>
          <w:szCs w:val="20"/>
        </w:rPr>
        <w:t>Tslab</w:t>
      </w:r>
      <w:proofErr w:type="spellEnd"/>
      <w:r w:rsidRPr="00A442E4">
        <w:rPr>
          <w:sz w:val="20"/>
          <w:szCs w:val="20"/>
        </w:rPr>
        <w:t>, BRE and standard fire test (</w:t>
      </w:r>
      <w:r w:rsidRPr="00A442E4">
        <w:rPr>
          <w:i/>
          <w:sz w:val="20"/>
          <w:szCs w:val="20"/>
        </w:rPr>
        <w:t>l</w:t>
      </w:r>
      <w:r w:rsidRPr="00A442E4">
        <w:rPr>
          <w:sz w:val="20"/>
          <w:szCs w:val="20"/>
        </w:rPr>
        <w:t>/20) deflection limits; the structural properties of the two models are selected to be consistent with the assumptions of the Bailey-BRE method. The results are also compared with a simple slab panel failure mechanism, shown in Figure 5. This mechanism determines the time at which the horizontally unrestrained slab panel loses its load-bearing capacity due to biaxial tensile membrane action, and goes into single-curvature bending (simple plastic folding), due to the loss of plastic bending capacity of the protected edge beams. Using a work-balance equation, it predicts when the parallel arrangements of primary or secondary (intermediate unprotected and protected secondary) composite beams lose their ability to carry the applied fire limit state load because of their temperature-induced strength reductions. The expressions for plastic folding failure across the primary and secondary beams are shown in Equations 2 and 3 respectively</w:t>
      </w:r>
      <w:r>
        <w:rPr>
          <w:sz w:val="20"/>
          <w:szCs w:val="20"/>
        </w:rPr>
        <w:t>.</w:t>
      </w:r>
    </w:p>
    <w:p w:rsidR="0003108B" w:rsidRDefault="0003108B" w:rsidP="00A442E4">
      <w:pPr>
        <w:spacing w:line="360" w:lineRule="auto"/>
        <w:rPr>
          <w:i/>
          <w:sz w:val="20"/>
          <w:szCs w:val="20"/>
        </w:rPr>
      </w:pPr>
    </w:p>
    <w:p w:rsidR="00D425AF" w:rsidRDefault="00D425AF" w:rsidP="00A442E4">
      <w:pPr>
        <w:spacing w:line="360" w:lineRule="auto"/>
        <w:rPr>
          <w:i/>
          <w:sz w:val="20"/>
          <w:szCs w:val="20"/>
        </w:rPr>
      </w:pPr>
    </w:p>
    <w:p w:rsidR="00D425AF" w:rsidRDefault="00D425AF" w:rsidP="00A442E4">
      <w:pPr>
        <w:spacing w:line="360" w:lineRule="auto"/>
        <w:rPr>
          <w:i/>
          <w:sz w:val="20"/>
          <w:szCs w:val="20"/>
        </w:rPr>
      </w:pPr>
    </w:p>
    <w:p w:rsidR="00D425AF" w:rsidRDefault="00D425AF" w:rsidP="00A442E4">
      <w:pPr>
        <w:spacing w:line="360" w:lineRule="auto"/>
        <w:rPr>
          <w:i/>
          <w:sz w:val="20"/>
          <w:szCs w:val="20"/>
        </w:rPr>
      </w:pPr>
    </w:p>
    <w:p w:rsidR="0006269A" w:rsidRPr="00A442E4" w:rsidRDefault="0006269A" w:rsidP="00A442E4">
      <w:pPr>
        <w:spacing w:line="360" w:lineRule="auto"/>
        <w:rPr>
          <w:i/>
          <w:sz w:val="20"/>
          <w:szCs w:val="20"/>
        </w:rPr>
      </w:pPr>
    </w:p>
    <w:p w:rsidR="0003108B" w:rsidRPr="00A442E4" w:rsidRDefault="0003108B" w:rsidP="00A442E4">
      <w:pPr>
        <w:spacing w:line="360" w:lineRule="auto"/>
        <w:rPr>
          <w:i/>
          <w:sz w:val="20"/>
          <w:szCs w:val="20"/>
        </w:rPr>
      </w:pPr>
      <w:r w:rsidRPr="00A442E4">
        <w:rPr>
          <w:i/>
          <w:sz w:val="20"/>
          <w:szCs w:val="20"/>
        </w:rPr>
        <w:lastRenderedPageBreak/>
        <w:t>Primary beam failure</w:t>
      </w:r>
    </w:p>
    <w:p w:rsidR="0003108B" w:rsidRPr="00A442E4" w:rsidRDefault="0003108B" w:rsidP="00A442E4">
      <w:pPr>
        <w:spacing w:line="360" w:lineRule="auto"/>
        <w:rPr>
          <w:sz w:val="20"/>
          <w:szCs w:val="20"/>
        </w:rPr>
      </w:pPr>
      <w:r w:rsidRPr="00A442E4">
        <w:rPr>
          <w:position w:val="-24"/>
          <w:sz w:val="20"/>
          <w:szCs w:val="20"/>
        </w:rPr>
        <w:object w:dxaOrig="1939" w:dyaOrig="680">
          <v:shape id="_x0000_i1026" type="#_x0000_t75" style="width:96pt;height:33.75pt" o:ole="">
            <v:imagedata r:id="rId11" o:title=""/>
          </v:shape>
          <o:OLEObject Type="Embed" ProgID="Equation.3" ShapeID="_x0000_i1026" DrawAspect="Content" ObjectID="_1419235266" r:id="rId12"/>
        </w:object>
      </w:r>
    </w:p>
    <w:p w:rsidR="0003108B" w:rsidRPr="00A442E4" w:rsidRDefault="0003108B" w:rsidP="00A442E4">
      <w:pPr>
        <w:spacing w:line="360" w:lineRule="auto"/>
        <w:rPr>
          <w:sz w:val="20"/>
          <w:szCs w:val="20"/>
        </w:rPr>
      </w:pPr>
      <w:r w:rsidRPr="00A442E4">
        <w:rPr>
          <w:sz w:val="20"/>
          <w:szCs w:val="20"/>
        </w:rPr>
        <w:t>2.</w:t>
      </w:r>
    </w:p>
    <w:p w:rsidR="0003108B" w:rsidRPr="00A442E4" w:rsidRDefault="0003108B" w:rsidP="00A442E4">
      <w:pPr>
        <w:keepNext/>
        <w:spacing w:line="360" w:lineRule="auto"/>
        <w:rPr>
          <w:i/>
          <w:sz w:val="20"/>
          <w:szCs w:val="20"/>
        </w:rPr>
      </w:pPr>
    </w:p>
    <w:p w:rsidR="0003108B" w:rsidRPr="00A442E4" w:rsidRDefault="0003108B" w:rsidP="00A442E4">
      <w:pPr>
        <w:keepNext/>
        <w:spacing w:line="360" w:lineRule="auto"/>
        <w:rPr>
          <w:i/>
          <w:sz w:val="20"/>
          <w:szCs w:val="20"/>
        </w:rPr>
      </w:pPr>
      <w:r w:rsidRPr="00A442E4">
        <w:rPr>
          <w:i/>
          <w:sz w:val="20"/>
          <w:szCs w:val="20"/>
        </w:rPr>
        <w:t>Secondary beam failure</w:t>
      </w:r>
    </w:p>
    <w:p w:rsidR="0003108B" w:rsidRPr="00A442E4" w:rsidRDefault="0003108B" w:rsidP="00A442E4">
      <w:pPr>
        <w:spacing w:line="360" w:lineRule="auto"/>
        <w:rPr>
          <w:sz w:val="20"/>
          <w:szCs w:val="20"/>
        </w:rPr>
      </w:pPr>
      <w:r w:rsidRPr="00A442E4">
        <w:rPr>
          <w:position w:val="-34"/>
          <w:sz w:val="20"/>
          <w:szCs w:val="20"/>
        </w:rPr>
        <w:object w:dxaOrig="3159" w:dyaOrig="800">
          <v:shape id="_x0000_i1027" type="#_x0000_t75" style="width:158.25pt;height:39.75pt" o:ole="">
            <v:imagedata r:id="rId13" o:title=""/>
          </v:shape>
          <o:OLEObject Type="Embed" ProgID="Equation.3" ShapeID="_x0000_i1027" DrawAspect="Content" ObjectID="_1419235267" r:id="rId14"/>
        </w:object>
      </w:r>
    </w:p>
    <w:p w:rsidR="0003108B" w:rsidRPr="00A442E4" w:rsidRDefault="0003108B" w:rsidP="00A442E4">
      <w:pPr>
        <w:spacing w:line="360" w:lineRule="auto"/>
        <w:rPr>
          <w:sz w:val="20"/>
          <w:szCs w:val="20"/>
        </w:rPr>
      </w:pPr>
      <w:r w:rsidRPr="00A442E4">
        <w:rPr>
          <w:sz w:val="20"/>
          <w:szCs w:val="20"/>
        </w:rPr>
        <w:t>3.</w:t>
      </w:r>
    </w:p>
    <w:p w:rsidR="0003108B" w:rsidRPr="00A442E4" w:rsidRDefault="0003108B" w:rsidP="00A442E4">
      <w:pPr>
        <w:spacing w:line="360" w:lineRule="auto"/>
        <w:rPr>
          <w:sz w:val="20"/>
          <w:szCs w:val="20"/>
        </w:rPr>
      </w:pPr>
    </w:p>
    <w:p w:rsidR="0003108B" w:rsidRPr="00A442E4" w:rsidRDefault="0003108B" w:rsidP="00A442E4">
      <w:pPr>
        <w:spacing w:line="360" w:lineRule="auto"/>
        <w:rPr>
          <w:sz w:val="20"/>
          <w:szCs w:val="20"/>
        </w:rPr>
      </w:pPr>
      <w:r w:rsidRPr="00A442E4">
        <w:rPr>
          <w:sz w:val="20"/>
          <w:szCs w:val="20"/>
        </w:rPr>
        <w:t xml:space="preserve">In the equations above </w:t>
      </w:r>
      <w:r w:rsidRPr="00A442E4">
        <w:rPr>
          <w:i/>
          <w:sz w:val="20"/>
          <w:szCs w:val="20"/>
        </w:rPr>
        <w:t>a</w:t>
      </w:r>
      <w:r w:rsidRPr="00A442E4">
        <w:rPr>
          <w:sz w:val="20"/>
          <w:szCs w:val="20"/>
        </w:rPr>
        <w:t xml:space="preserve"> and </w:t>
      </w:r>
      <w:r w:rsidRPr="00A442E4">
        <w:rPr>
          <w:i/>
          <w:sz w:val="20"/>
          <w:szCs w:val="20"/>
        </w:rPr>
        <w:t>b</w:t>
      </w:r>
      <w:r w:rsidRPr="00A442E4">
        <w:rPr>
          <w:sz w:val="20"/>
          <w:szCs w:val="20"/>
        </w:rPr>
        <w:t xml:space="preserve"> are the lengths of the primary and secondary beams; </w:t>
      </w:r>
      <w:r w:rsidRPr="00A442E4">
        <w:rPr>
          <w:i/>
          <w:sz w:val="20"/>
          <w:szCs w:val="20"/>
        </w:rPr>
        <w:t>w</w:t>
      </w:r>
      <w:r w:rsidRPr="00A442E4">
        <w:rPr>
          <w:sz w:val="20"/>
          <w:szCs w:val="20"/>
        </w:rPr>
        <w:t xml:space="preserve"> is the applied fire limit state floor loading and </w:t>
      </w:r>
      <w:r w:rsidRPr="00A442E4">
        <w:rPr>
          <w:i/>
          <w:sz w:val="20"/>
          <w:szCs w:val="20"/>
        </w:rPr>
        <w:t>M</w:t>
      </w:r>
      <w:r w:rsidRPr="00A442E4">
        <w:rPr>
          <w:i/>
          <w:sz w:val="20"/>
          <w:szCs w:val="20"/>
          <w:vertAlign w:val="subscript"/>
        </w:rPr>
        <w:t>u</w:t>
      </w:r>
      <w:r w:rsidRPr="00A442E4">
        <w:rPr>
          <w:sz w:val="20"/>
          <w:szCs w:val="20"/>
        </w:rPr>
        <w:t xml:space="preserve">, </w:t>
      </w:r>
      <w:r w:rsidRPr="00A442E4">
        <w:rPr>
          <w:i/>
          <w:sz w:val="20"/>
          <w:szCs w:val="20"/>
        </w:rPr>
        <w:t>M</w:t>
      </w:r>
      <w:r w:rsidRPr="00A442E4">
        <w:rPr>
          <w:i/>
          <w:sz w:val="20"/>
          <w:szCs w:val="20"/>
          <w:vertAlign w:val="subscript"/>
        </w:rPr>
        <w:t>s</w:t>
      </w:r>
      <w:r w:rsidRPr="00A442E4">
        <w:rPr>
          <w:sz w:val="20"/>
          <w:szCs w:val="20"/>
        </w:rPr>
        <w:t xml:space="preserve"> and </w:t>
      </w:r>
      <w:proofErr w:type="spellStart"/>
      <w:r w:rsidRPr="00A442E4">
        <w:rPr>
          <w:i/>
          <w:sz w:val="20"/>
          <w:szCs w:val="20"/>
        </w:rPr>
        <w:t>M</w:t>
      </w:r>
      <w:r w:rsidRPr="00A442E4">
        <w:rPr>
          <w:i/>
          <w:sz w:val="20"/>
          <w:szCs w:val="20"/>
          <w:vertAlign w:val="subscript"/>
        </w:rPr>
        <w:t>p</w:t>
      </w:r>
      <w:proofErr w:type="spellEnd"/>
      <w:r w:rsidRPr="00A442E4">
        <w:rPr>
          <w:sz w:val="20"/>
          <w:szCs w:val="20"/>
        </w:rPr>
        <w:t xml:space="preserve"> are the temperature-dependent capacities of the unprotected, protected secondary and protected primary composite beams, respectively, at any given time.</w:t>
      </w:r>
    </w:p>
    <w:p w:rsidR="0003108B" w:rsidRPr="00A442E4" w:rsidRDefault="0003108B" w:rsidP="00A442E4">
      <w:pPr>
        <w:spacing w:line="360" w:lineRule="auto"/>
        <w:rPr>
          <w:b/>
          <w:sz w:val="20"/>
          <w:szCs w:val="20"/>
        </w:rPr>
      </w:pPr>
    </w:p>
    <w:p w:rsidR="0003108B" w:rsidRPr="00A442E4" w:rsidRDefault="0003108B" w:rsidP="00A442E4">
      <w:pPr>
        <w:spacing w:line="360" w:lineRule="auto"/>
        <w:rPr>
          <w:b/>
          <w:sz w:val="20"/>
          <w:szCs w:val="20"/>
        </w:rPr>
      </w:pPr>
      <w:r w:rsidRPr="00A442E4">
        <w:rPr>
          <w:b/>
          <w:sz w:val="20"/>
          <w:szCs w:val="20"/>
        </w:rPr>
        <w:t>3. Results</w:t>
      </w:r>
    </w:p>
    <w:p w:rsidR="0003108B" w:rsidRPr="00A442E4" w:rsidRDefault="0003108B" w:rsidP="00A442E4">
      <w:pPr>
        <w:spacing w:line="360" w:lineRule="auto"/>
        <w:rPr>
          <w:sz w:val="20"/>
          <w:szCs w:val="20"/>
        </w:rPr>
      </w:pPr>
      <w:proofErr w:type="gramStart"/>
      <w:r w:rsidRPr="00A442E4">
        <w:rPr>
          <w:sz w:val="20"/>
          <w:szCs w:val="20"/>
        </w:rPr>
        <w:t>The results of the comparative analyses, shown in Figures 7</w:t>
      </w:r>
      <w:r w:rsidRPr="008C6E90">
        <w:rPr>
          <w:sz w:val="20"/>
          <w:szCs w:val="20"/>
        </w:rPr>
        <w:t>–</w:t>
      </w:r>
      <w:r w:rsidRPr="00A442E4">
        <w:rPr>
          <w:sz w:val="20"/>
          <w:szCs w:val="20"/>
        </w:rPr>
        <w:t>9, show slab panel deflections with different reinforcement mesh sizes.</w:t>
      </w:r>
      <w:proofErr w:type="gramEnd"/>
      <w:r w:rsidRPr="00A442E4">
        <w:rPr>
          <w:sz w:val="20"/>
          <w:szCs w:val="20"/>
        </w:rPr>
        <w:t xml:space="preserve"> For ease of comparison, in each graph the A142 reinforced panels are shown as dotted lines, while those reinforced with A193, A252 and A393 are shown as dashed, solid and chain-dot lines respectively. For clarity the required vertical displacements for the Bailey-BRE method and the predicted actual displacements from the Vulcan analyses are shown on separate graphs (</w:t>
      </w:r>
      <w:r w:rsidRPr="008C6E90">
        <w:rPr>
          <w:sz w:val="20"/>
          <w:szCs w:val="20"/>
        </w:rPr>
        <w:t>‘</w:t>
      </w:r>
      <w:r w:rsidRPr="00A442E4">
        <w:rPr>
          <w:sz w:val="20"/>
          <w:szCs w:val="20"/>
        </w:rPr>
        <w:t>a</w:t>
      </w:r>
      <w:r w:rsidRPr="008C6E90">
        <w:rPr>
          <w:sz w:val="20"/>
          <w:szCs w:val="20"/>
        </w:rPr>
        <w:t>’</w:t>
      </w:r>
      <w:r w:rsidRPr="00A442E4">
        <w:rPr>
          <w:sz w:val="20"/>
          <w:szCs w:val="20"/>
        </w:rPr>
        <w:t xml:space="preserve"> and </w:t>
      </w:r>
      <w:r w:rsidRPr="008C6E90">
        <w:rPr>
          <w:sz w:val="20"/>
          <w:szCs w:val="20"/>
        </w:rPr>
        <w:t>‘</w:t>
      </w:r>
      <w:r w:rsidRPr="00A442E4">
        <w:rPr>
          <w:sz w:val="20"/>
          <w:szCs w:val="20"/>
        </w:rPr>
        <w:t>b</w:t>
      </w:r>
      <w:r w:rsidRPr="008C6E90">
        <w:rPr>
          <w:sz w:val="20"/>
          <w:szCs w:val="20"/>
        </w:rPr>
        <w:t>’</w:t>
      </w:r>
      <w:r w:rsidRPr="00A442E4">
        <w:rPr>
          <w:sz w:val="20"/>
          <w:szCs w:val="20"/>
        </w:rPr>
        <w:t xml:space="preserve">) for each slab panel size. Displacements predicted by Vulcan at the centres of the slab panels are also shown relative to the deflections of the midpoints of the protected secondary beams in graphs </w:t>
      </w:r>
      <w:r w:rsidRPr="008C6E90">
        <w:rPr>
          <w:sz w:val="20"/>
          <w:szCs w:val="20"/>
        </w:rPr>
        <w:t>‘</w:t>
      </w:r>
      <w:r w:rsidRPr="00A442E4">
        <w:rPr>
          <w:sz w:val="20"/>
          <w:szCs w:val="20"/>
        </w:rPr>
        <w:t>c</w:t>
      </w:r>
      <w:r w:rsidRPr="008C6E90">
        <w:rPr>
          <w:sz w:val="20"/>
          <w:szCs w:val="20"/>
        </w:rPr>
        <w:t>’</w:t>
      </w:r>
      <w:r w:rsidRPr="00A442E4">
        <w:rPr>
          <w:sz w:val="20"/>
          <w:szCs w:val="20"/>
        </w:rPr>
        <w:t xml:space="preserve"> for comparison. This illustration is appropriate because the deflected slab profile in the Bailey-BRE method relates to non-deflecting edge beams; a more representative comparison with Vulcan therefore requires a relationship between its slab deflection and deflected edge beams. </w:t>
      </w:r>
    </w:p>
    <w:p w:rsidR="0003108B" w:rsidRPr="00A442E4" w:rsidRDefault="0003108B" w:rsidP="00A442E4">
      <w:pPr>
        <w:spacing w:line="360" w:lineRule="auto"/>
        <w:rPr>
          <w:b/>
          <w:i/>
          <w:sz w:val="20"/>
          <w:szCs w:val="20"/>
        </w:rPr>
      </w:pPr>
    </w:p>
    <w:p w:rsidR="0003108B" w:rsidRPr="00A442E4" w:rsidRDefault="0003108B" w:rsidP="00A442E4">
      <w:pPr>
        <w:spacing w:line="360" w:lineRule="auto"/>
        <w:rPr>
          <w:b/>
          <w:i/>
          <w:sz w:val="20"/>
          <w:szCs w:val="20"/>
        </w:rPr>
      </w:pPr>
      <w:r w:rsidRPr="00A442E4">
        <w:rPr>
          <w:b/>
          <w:i/>
          <w:sz w:val="20"/>
          <w:szCs w:val="20"/>
        </w:rPr>
        <w:t>3.1 Slab panel analyses</w:t>
      </w:r>
    </w:p>
    <w:p w:rsidR="0003108B" w:rsidRPr="00A442E4" w:rsidRDefault="0003108B" w:rsidP="00A442E4">
      <w:pPr>
        <w:pStyle w:val="Heading5"/>
        <w:numPr>
          <w:ilvl w:val="0"/>
          <w:numId w:val="0"/>
        </w:numPr>
        <w:spacing w:before="0" w:after="0" w:line="360" w:lineRule="auto"/>
        <w:rPr>
          <w:b w:val="0"/>
          <w:sz w:val="20"/>
          <w:szCs w:val="20"/>
        </w:rPr>
      </w:pPr>
      <w:proofErr w:type="gramStart"/>
      <w:r w:rsidRPr="00A442E4">
        <w:rPr>
          <w:b w:val="0"/>
          <w:sz w:val="20"/>
          <w:szCs w:val="20"/>
        </w:rPr>
        <w:t>3.1.1  9</w:t>
      </w:r>
      <w:proofErr w:type="gramEnd"/>
      <w:r w:rsidRPr="00A442E4">
        <w:rPr>
          <w:b w:val="0"/>
          <w:sz w:val="20"/>
          <w:szCs w:val="20"/>
        </w:rPr>
        <w:t xml:space="preserve"> m x 6 m slab panel</w:t>
      </w:r>
    </w:p>
    <w:p w:rsidR="0003108B" w:rsidRPr="00A442E4" w:rsidRDefault="0003108B" w:rsidP="00A442E4">
      <w:pPr>
        <w:pStyle w:val="Heading5"/>
        <w:numPr>
          <w:ilvl w:val="0"/>
          <w:numId w:val="0"/>
        </w:numPr>
        <w:spacing w:before="0" w:after="0" w:line="360" w:lineRule="auto"/>
        <w:rPr>
          <w:b w:val="0"/>
          <w:i w:val="0"/>
          <w:sz w:val="20"/>
          <w:szCs w:val="20"/>
        </w:rPr>
      </w:pPr>
      <w:r w:rsidRPr="00A442E4">
        <w:rPr>
          <w:b w:val="0"/>
          <w:i w:val="0"/>
          <w:sz w:val="20"/>
          <w:szCs w:val="20"/>
        </w:rPr>
        <w:t>SCI P-288 (Newman</w:t>
      </w:r>
      <w:r w:rsidRPr="00A442E4">
        <w:rPr>
          <w:sz w:val="20"/>
          <w:szCs w:val="20"/>
        </w:rPr>
        <w:t xml:space="preserve"> </w:t>
      </w:r>
      <w:r w:rsidRPr="00A442E4">
        <w:rPr>
          <w:b w:val="0"/>
          <w:sz w:val="20"/>
          <w:szCs w:val="20"/>
        </w:rPr>
        <w:t>et al.</w:t>
      </w:r>
      <w:r w:rsidRPr="00A442E4">
        <w:rPr>
          <w:b w:val="0"/>
          <w:i w:val="0"/>
          <w:sz w:val="20"/>
          <w:szCs w:val="20"/>
        </w:rPr>
        <w:t>, 2006) specifies A193 as the minimum reinforcing mesh required for 60 minutes</w:t>
      </w:r>
      <w:r w:rsidRPr="008C6E90">
        <w:rPr>
          <w:b w:val="0"/>
          <w:i w:val="0"/>
          <w:sz w:val="20"/>
          <w:szCs w:val="20"/>
        </w:rPr>
        <w:t>’</w:t>
      </w:r>
      <w:r w:rsidRPr="00A442E4">
        <w:rPr>
          <w:b w:val="0"/>
          <w:i w:val="0"/>
          <w:sz w:val="20"/>
          <w:szCs w:val="20"/>
        </w:rPr>
        <w:t xml:space="preserve"> fire resistance. Figure 7(a) shows the required Bailey-BRE displacements together with the deflection limits and the slab panel collapse time. A193 mesh satisfies the BRE limit, but is inadequate for 60 min fire resistance according to </w:t>
      </w:r>
      <w:proofErr w:type="spellStart"/>
      <w:r w:rsidRPr="00A442E4">
        <w:rPr>
          <w:b w:val="0"/>
          <w:i w:val="0"/>
          <w:sz w:val="20"/>
          <w:szCs w:val="20"/>
        </w:rPr>
        <w:t>Tslab</w:t>
      </w:r>
      <w:proofErr w:type="spellEnd"/>
      <w:r w:rsidRPr="00A442E4">
        <w:rPr>
          <w:b w:val="0"/>
          <w:i w:val="0"/>
          <w:sz w:val="20"/>
          <w:szCs w:val="20"/>
        </w:rPr>
        <w:t xml:space="preserve">. A252 and A393 satisfy all deflection criteria. It should be noted that there is no indication of failure of the panels according to Bailey-BRE, even when the collapse time is approached. This is partly due to their neglect of the behaviour of the edge beams; runaway failure of Bailey-BRE panels is only evident in the required deflections when the reinforcement has lost a very significant proportion of its strength. Vulcan predicted deflections are shown in Figure 7(b). It is observed that the A393 mesh just </w:t>
      </w:r>
      <w:r w:rsidRPr="00A442E4">
        <w:rPr>
          <w:b w:val="0"/>
          <w:i w:val="0"/>
          <w:sz w:val="20"/>
          <w:szCs w:val="20"/>
        </w:rPr>
        <w:lastRenderedPageBreak/>
        <w:t xml:space="preserve">satisfies the BRE limiting deflection at 60 min. It can also be seen that the deflections of the various Vulcan analyses converge at the </w:t>
      </w:r>
      <w:r w:rsidRPr="008C6E90">
        <w:rPr>
          <w:b w:val="0"/>
          <w:i w:val="0"/>
          <w:sz w:val="20"/>
          <w:szCs w:val="20"/>
        </w:rPr>
        <w:t>‘</w:t>
      </w:r>
      <w:r w:rsidRPr="00A442E4">
        <w:rPr>
          <w:b w:val="0"/>
          <w:i w:val="0"/>
          <w:sz w:val="20"/>
          <w:szCs w:val="20"/>
        </w:rPr>
        <w:t>collapse time</w:t>
      </w:r>
      <w:r w:rsidRPr="008C6E90">
        <w:rPr>
          <w:b w:val="0"/>
          <w:i w:val="0"/>
          <w:sz w:val="20"/>
          <w:szCs w:val="20"/>
        </w:rPr>
        <w:t>’</w:t>
      </w:r>
      <w:r w:rsidRPr="00A442E4">
        <w:rPr>
          <w:b w:val="0"/>
          <w:i w:val="0"/>
          <w:sz w:val="20"/>
          <w:szCs w:val="20"/>
        </w:rPr>
        <w:t xml:space="preserve"> (82 min) of the simple slab panel folding mechanism. This clearly indicates the loss of bending capacity of the protected secondary beams. </w:t>
      </w:r>
    </w:p>
    <w:p w:rsidR="0003108B" w:rsidRPr="00A442E4" w:rsidRDefault="0003108B" w:rsidP="008C6E90">
      <w:pPr>
        <w:rPr>
          <w:sz w:val="20"/>
          <w:szCs w:val="20"/>
        </w:rPr>
      </w:pPr>
    </w:p>
    <w:p w:rsidR="0003108B" w:rsidRPr="00A442E4" w:rsidRDefault="0003108B" w:rsidP="00A442E4">
      <w:pPr>
        <w:pStyle w:val="Heading5"/>
        <w:numPr>
          <w:ilvl w:val="0"/>
          <w:numId w:val="0"/>
        </w:numPr>
        <w:spacing w:before="0" w:after="0" w:line="360" w:lineRule="auto"/>
        <w:rPr>
          <w:b w:val="0"/>
          <w:sz w:val="20"/>
          <w:szCs w:val="20"/>
        </w:rPr>
      </w:pPr>
      <w:proofErr w:type="gramStart"/>
      <w:r w:rsidRPr="00A442E4">
        <w:rPr>
          <w:b w:val="0"/>
          <w:sz w:val="20"/>
          <w:szCs w:val="20"/>
        </w:rPr>
        <w:t>3.1.2  9</w:t>
      </w:r>
      <w:proofErr w:type="gramEnd"/>
      <w:r w:rsidRPr="00A442E4">
        <w:rPr>
          <w:b w:val="0"/>
          <w:sz w:val="20"/>
          <w:szCs w:val="20"/>
        </w:rPr>
        <w:t xml:space="preserve"> m x 12 m slab panel</w:t>
      </w:r>
    </w:p>
    <w:p w:rsidR="0003108B" w:rsidRPr="00A442E4" w:rsidRDefault="0003108B" w:rsidP="00A442E4">
      <w:pPr>
        <w:spacing w:line="360" w:lineRule="auto"/>
        <w:rPr>
          <w:sz w:val="20"/>
          <w:szCs w:val="20"/>
        </w:rPr>
      </w:pPr>
      <w:r w:rsidRPr="00A442E4">
        <w:rPr>
          <w:sz w:val="20"/>
          <w:szCs w:val="20"/>
        </w:rPr>
        <w:t xml:space="preserve">In the previously-discussed 9 m x 6 m slab panel the secondary beams are longer than the primary beams. In the 9 m x 12 m layout this is reversed. However, its large overall size requires its minimum mesh size to be A252. From the required displacements shown in Figure 8(a), A252 mesh satisfies a 60 min fire resistance requirement with respect to the Bailey-BRE limit. It is observed from this graph that increasing the mesh size from A252 to A393 results in an increase in the slab panel capacity from about 37 min to over 90 min, relative to the </w:t>
      </w:r>
      <w:proofErr w:type="spellStart"/>
      <w:r w:rsidRPr="00A442E4">
        <w:rPr>
          <w:sz w:val="20"/>
          <w:szCs w:val="20"/>
        </w:rPr>
        <w:t>Tslab</w:t>
      </w:r>
      <w:proofErr w:type="spellEnd"/>
      <w:r w:rsidRPr="00A442E4">
        <w:rPr>
          <w:sz w:val="20"/>
          <w:szCs w:val="20"/>
        </w:rPr>
        <w:t xml:space="preserve"> deflection limit. The same cannot be said for the Vulcan results (Figure 8(b)), which show very little increase in capacity with larger meshes. </w:t>
      </w:r>
    </w:p>
    <w:p w:rsidR="0003108B" w:rsidRPr="00A442E4" w:rsidRDefault="0003108B" w:rsidP="00A442E4">
      <w:pPr>
        <w:spacing w:line="360" w:lineRule="auto"/>
        <w:rPr>
          <w:sz w:val="20"/>
          <w:szCs w:val="20"/>
        </w:rPr>
      </w:pPr>
    </w:p>
    <w:p w:rsidR="0003108B" w:rsidRPr="00A442E4" w:rsidRDefault="0003108B" w:rsidP="00A442E4">
      <w:pPr>
        <w:spacing w:line="360" w:lineRule="auto"/>
        <w:rPr>
          <w:i/>
          <w:sz w:val="20"/>
          <w:szCs w:val="20"/>
        </w:rPr>
      </w:pPr>
      <w:proofErr w:type="gramStart"/>
      <w:r w:rsidRPr="00A442E4">
        <w:rPr>
          <w:i/>
          <w:sz w:val="20"/>
          <w:szCs w:val="20"/>
        </w:rPr>
        <w:t>3.1.3  9</w:t>
      </w:r>
      <w:proofErr w:type="gramEnd"/>
      <w:r w:rsidRPr="00A442E4">
        <w:rPr>
          <w:i/>
          <w:sz w:val="20"/>
          <w:szCs w:val="20"/>
        </w:rPr>
        <w:t xml:space="preserve"> m x 9 m slab panel</w:t>
      </w:r>
    </w:p>
    <w:p w:rsidR="0003108B" w:rsidRPr="00A442E4" w:rsidRDefault="0003108B" w:rsidP="00A442E4">
      <w:pPr>
        <w:spacing w:line="360" w:lineRule="auto"/>
        <w:rPr>
          <w:sz w:val="20"/>
          <w:szCs w:val="20"/>
        </w:rPr>
      </w:pPr>
      <w:r w:rsidRPr="00A442E4">
        <w:rPr>
          <w:sz w:val="20"/>
          <w:szCs w:val="20"/>
        </w:rPr>
        <w:t xml:space="preserve">Figure 9 shows results for the 9 m x 9 m slab panel, plotted together with the edge beam collapse mechanism and the three deflection criteria. The discrepancy between the Bailey-BRE limit and </w:t>
      </w:r>
      <w:proofErr w:type="spellStart"/>
      <w:r w:rsidRPr="00A442E4">
        <w:rPr>
          <w:sz w:val="20"/>
          <w:szCs w:val="20"/>
        </w:rPr>
        <w:t>Tslab</w:t>
      </w:r>
      <w:proofErr w:type="spellEnd"/>
      <w:r w:rsidRPr="00A442E4">
        <w:rPr>
          <w:sz w:val="20"/>
          <w:szCs w:val="20"/>
        </w:rPr>
        <w:t xml:space="preserve"> is evident once again; the recommended minimum reinforcement for 60 minutes</w:t>
      </w:r>
      <w:r w:rsidRPr="008C6E90">
        <w:rPr>
          <w:sz w:val="20"/>
          <w:szCs w:val="20"/>
        </w:rPr>
        <w:t>’</w:t>
      </w:r>
      <w:r w:rsidRPr="00A442E4">
        <w:rPr>
          <w:sz w:val="20"/>
          <w:szCs w:val="20"/>
        </w:rPr>
        <w:t xml:space="preserve"> fire resistance, A193, is adequate with respect to the BRE limit, but fails to meet the </w:t>
      </w:r>
      <w:proofErr w:type="spellStart"/>
      <w:r w:rsidRPr="00A442E4">
        <w:rPr>
          <w:sz w:val="20"/>
          <w:szCs w:val="20"/>
        </w:rPr>
        <w:t>Tslab</w:t>
      </w:r>
      <w:proofErr w:type="spellEnd"/>
      <w:r w:rsidRPr="00A442E4">
        <w:rPr>
          <w:sz w:val="20"/>
          <w:szCs w:val="20"/>
        </w:rPr>
        <w:t xml:space="preserve"> limit. As reported for the other panel layouts, an increase in mesh size results in a disproportionately large increase in the Bailey-BRE panel resistance (Figure</w:t>
      </w:r>
      <w:r w:rsidRPr="008C6E90">
        <w:rPr>
          <w:sz w:val="20"/>
          <w:szCs w:val="20"/>
        </w:rPr>
        <w:t> </w:t>
      </w:r>
      <w:r w:rsidRPr="00A442E4">
        <w:rPr>
          <w:sz w:val="20"/>
          <w:szCs w:val="20"/>
        </w:rPr>
        <w:t>9(a)) while Vulcan (Figure</w:t>
      </w:r>
      <w:r w:rsidRPr="008C6E90">
        <w:rPr>
          <w:sz w:val="20"/>
          <w:szCs w:val="20"/>
        </w:rPr>
        <w:t> </w:t>
      </w:r>
      <w:r w:rsidRPr="00A442E4">
        <w:rPr>
          <w:sz w:val="20"/>
          <w:szCs w:val="20"/>
        </w:rPr>
        <w:t>9(b)) shows a more modest increase. Failure of the protected secondary beams at 73min (also Figure 9(b)) limits any contribution the reinforcement might have made to the panel capacity. A comparison of the relative displacements (Figure 9(c)) with the required Bailey-BRE displacements indicates that the latter method is the more conservative for A142 and A193 meshes.</w:t>
      </w:r>
    </w:p>
    <w:p w:rsidR="0003108B" w:rsidRPr="00A442E4" w:rsidRDefault="0003108B" w:rsidP="00A442E4">
      <w:pPr>
        <w:spacing w:line="360" w:lineRule="auto"/>
        <w:rPr>
          <w:sz w:val="20"/>
          <w:szCs w:val="20"/>
        </w:rPr>
      </w:pPr>
    </w:p>
    <w:p w:rsidR="0003108B" w:rsidRPr="00A442E4" w:rsidRDefault="0003108B" w:rsidP="00A442E4">
      <w:pPr>
        <w:spacing w:line="360" w:lineRule="auto"/>
        <w:rPr>
          <w:sz w:val="20"/>
          <w:szCs w:val="20"/>
        </w:rPr>
      </w:pPr>
      <w:r w:rsidRPr="00A442E4">
        <w:rPr>
          <w:sz w:val="20"/>
          <w:szCs w:val="20"/>
        </w:rPr>
        <w:t>The comparisons in Figures 7</w:t>
      </w:r>
      <w:r w:rsidRPr="008C6E90">
        <w:rPr>
          <w:sz w:val="20"/>
          <w:szCs w:val="20"/>
        </w:rPr>
        <w:t>–</w:t>
      </w:r>
      <w:r w:rsidRPr="00A442E4">
        <w:rPr>
          <w:sz w:val="20"/>
          <w:szCs w:val="20"/>
        </w:rPr>
        <w:t xml:space="preserve">9 show that finite-element modelling indicates only marginal increases in slab panel capacity with increasing reinforcement size. The Bailey-BRE method, on the other hand, shows huge gains in slab panel resistance with larger mesh sizes, even when compared to the relative displacements given by the finite-element analyses. Results for the 9 m x 6 m and 9 m x 9 m slab panels have shown that the Bailey-BRE method is conservative with the lower reinforcement sizes, while it overestimates slab panel capacities for higher mesh sizes. </w:t>
      </w:r>
    </w:p>
    <w:p w:rsidR="0003108B" w:rsidRPr="00A442E4" w:rsidRDefault="0003108B" w:rsidP="00A442E4">
      <w:pPr>
        <w:spacing w:line="360" w:lineRule="auto"/>
        <w:rPr>
          <w:b/>
          <w:i/>
          <w:sz w:val="20"/>
          <w:szCs w:val="20"/>
        </w:rPr>
      </w:pPr>
    </w:p>
    <w:p w:rsidR="0003108B" w:rsidRPr="00A442E4" w:rsidRDefault="0003108B" w:rsidP="00A442E4">
      <w:pPr>
        <w:spacing w:line="360" w:lineRule="auto"/>
        <w:rPr>
          <w:b/>
          <w:i/>
          <w:sz w:val="20"/>
          <w:szCs w:val="20"/>
        </w:rPr>
      </w:pPr>
      <w:proofErr w:type="gramStart"/>
      <w:r w:rsidRPr="00A442E4">
        <w:rPr>
          <w:b/>
          <w:i/>
          <w:sz w:val="20"/>
          <w:szCs w:val="20"/>
        </w:rPr>
        <w:t>3.2  Effects</w:t>
      </w:r>
      <w:proofErr w:type="gramEnd"/>
      <w:r w:rsidRPr="00A442E4">
        <w:rPr>
          <w:b/>
          <w:i/>
          <w:sz w:val="20"/>
          <w:szCs w:val="20"/>
        </w:rPr>
        <w:t xml:space="preserve"> of reinforcement ratio</w:t>
      </w:r>
    </w:p>
    <w:p w:rsidR="0003108B" w:rsidRPr="00A442E4" w:rsidRDefault="0003108B" w:rsidP="00A442E4">
      <w:pPr>
        <w:spacing w:line="360" w:lineRule="auto"/>
        <w:rPr>
          <w:sz w:val="20"/>
          <w:szCs w:val="20"/>
        </w:rPr>
      </w:pPr>
      <w:r w:rsidRPr="00A442E4">
        <w:rPr>
          <w:sz w:val="20"/>
          <w:szCs w:val="20"/>
        </w:rPr>
        <w:t xml:space="preserve">The comparison in the previous section shows that the Bailey-BRE method can predict very high increases of slab panel capacity as a result of small changes in reinforcement area, while Vulcan on the other hand indicates only marginal increases. The fact that the structural </w:t>
      </w:r>
      <w:r w:rsidRPr="00A442E4">
        <w:rPr>
          <w:sz w:val="20"/>
          <w:szCs w:val="20"/>
        </w:rPr>
        <w:lastRenderedPageBreak/>
        <w:t xml:space="preserve">response of the protected secondary beams is ignored seems to be the key to this over-optimistic prediction by the Bailey-BRE method. Therefore, to investigate the real contribution of reinforcement ratios, structural failure of the panel as a whole by plastic folding has been incorporated as a further limit to the Bailey-BRE deflection range. Fictitious intermediate reinforcement sizes have been used, in addition to the standard meshes, in order to investigate the effects of increasing reinforcement area on slab panel resistance. The range of reinforcement area is maintained between </w:t>
      </w:r>
      <w:proofErr w:type="gramStart"/>
      <w:r w:rsidRPr="00A442E4">
        <w:rPr>
          <w:sz w:val="20"/>
          <w:szCs w:val="20"/>
        </w:rPr>
        <w:t>142 mm</w:t>
      </w:r>
      <w:r w:rsidRPr="00A442E4">
        <w:rPr>
          <w:sz w:val="20"/>
          <w:szCs w:val="20"/>
          <w:vertAlign w:val="superscript"/>
        </w:rPr>
        <w:t>2</w:t>
      </w:r>
      <w:r w:rsidRPr="00A442E4">
        <w:rPr>
          <w:sz w:val="20"/>
          <w:szCs w:val="20"/>
        </w:rPr>
        <w:t>/m</w:t>
      </w:r>
      <w:proofErr w:type="gramEnd"/>
      <w:r w:rsidRPr="00A442E4">
        <w:rPr>
          <w:sz w:val="20"/>
          <w:szCs w:val="20"/>
        </w:rPr>
        <w:t xml:space="preserve"> and 393 mm</w:t>
      </w:r>
      <w:r w:rsidRPr="00A442E4">
        <w:rPr>
          <w:sz w:val="20"/>
          <w:szCs w:val="20"/>
          <w:vertAlign w:val="superscript"/>
        </w:rPr>
        <w:t>2</w:t>
      </w:r>
      <w:r w:rsidRPr="00A442E4">
        <w:rPr>
          <w:sz w:val="20"/>
          <w:szCs w:val="20"/>
        </w:rPr>
        <w:t>/m; the additional areas are 166, 221, 284, 318 and 354 mm</w:t>
      </w:r>
      <w:r w:rsidRPr="00A442E4">
        <w:rPr>
          <w:sz w:val="20"/>
          <w:szCs w:val="20"/>
          <w:vertAlign w:val="superscript"/>
        </w:rPr>
        <w:t>2</w:t>
      </w:r>
      <w:r w:rsidRPr="00A442E4">
        <w:rPr>
          <w:sz w:val="20"/>
          <w:szCs w:val="20"/>
        </w:rPr>
        <w:t>/m. The investigation in this section examines failure times of the slab panel with respect to the three limiting deflection criteria (</w:t>
      </w:r>
      <w:proofErr w:type="spellStart"/>
      <w:r w:rsidRPr="00A442E4">
        <w:rPr>
          <w:sz w:val="20"/>
          <w:szCs w:val="20"/>
        </w:rPr>
        <w:t>Tslab</w:t>
      </w:r>
      <w:proofErr w:type="spellEnd"/>
      <w:r w:rsidRPr="00A442E4">
        <w:rPr>
          <w:sz w:val="20"/>
          <w:szCs w:val="20"/>
        </w:rPr>
        <w:t xml:space="preserve">, the generic BRE limit and span/20) normalised with respect to the time to creation of a panel folding mechanism, since this indicates a real structural collapse of the entire slab panel. Results for the 9 m x 6 m, 9 m x 12 m and 9 m x 9 m panels are shown in Figure 10. The lightly-shaded curves show required deflections from the Bailey-BRE method. The deflections predicted by Vulcan are shown as darker curves. The dotted, solid and dashed lines refer respectively to failure times with respect to the short span/20 criterion, the </w:t>
      </w:r>
      <w:proofErr w:type="spellStart"/>
      <w:r w:rsidRPr="00A442E4">
        <w:rPr>
          <w:sz w:val="20"/>
          <w:szCs w:val="20"/>
        </w:rPr>
        <w:t>Tslab</w:t>
      </w:r>
      <w:proofErr w:type="spellEnd"/>
      <w:r w:rsidRPr="00A442E4">
        <w:rPr>
          <w:sz w:val="20"/>
          <w:szCs w:val="20"/>
        </w:rPr>
        <w:t xml:space="preserve"> deflection limit and the BRE limit.</w:t>
      </w:r>
    </w:p>
    <w:p w:rsidR="0003108B" w:rsidRPr="00A442E4" w:rsidRDefault="0003108B" w:rsidP="00A442E4">
      <w:pPr>
        <w:spacing w:line="360" w:lineRule="auto"/>
        <w:rPr>
          <w:sz w:val="20"/>
          <w:szCs w:val="20"/>
        </w:rPr>
      </w:pPr>
    </w:p>
    <w:p w:rsidR="0003108B" w:rsidRPr="00A442E4" w:rsidRDefault="0003108B" w:rsidP="00A442E4">
      <w:pPr>
        <w:spacing w:line="360" w:lineRule="auto"/>
        <w:rPr>
          <w:sz w:val="20"/>
          <w:szCs w:val="20"/>
        </w:rPr>
      </w:pPr>
      <w:r w:rsidRPr="00A442E4">
        <w:rPr>
          <w:sz w:val="20"/>
          <w:szCs w:val="20"/>
        </w:rPr>
        <w:t xml:space="preserve">Figure 10(a) shows how the normalised 9 m x 6 m slab panel failure times vary with increasing reinforcement mesh size for the 60 min design case. The results confirm the earlier observation of modest increases in slab panel capacity in the finite-element model and over-optimistic predictions in the Bailey-BRE method model. Looking at the BRE limit, the increase in slab panel resistance between reinforcement areas </w:t>
      </w:r>
      <w:proofErr w:type="gramStart"/>
      <w:r w:rsidRPr="00A442E4">
        <w:rPr>
          <w:sz w:val="20"/>
          <w:szCs w:val="20"/>
        </w:rPr>
        <w:t>of 142 mm</w:t>
      </w:r>
      <w:r w:rsidRPr="00A442E4">
        <w:rPr>
          <w:sz w:val="20"/>
          <w:szCs w:val="20"/>
          <w:vertAlign w:val="superscript"/>
        </w:rPr>
        <w:t>2</w:t>
      </w:r>
      <w:r w:rsidRPr="00A442E4">
        <w:rPr>
          <w:sz w:val="20"/>
          <w:szCs w:val="20"/>
        </w:rPr>
        <w:t>/m</w:t>
      </w:r>
      <w:proofErr w:type="gramEnd"/>
      <w:r w:rsidRPr="00A442E4">
        <w:rPr>
          <w:sz w:val="20"/>
          <w:szCs w:val="20"/>
        </w:rPr>
        <w:t xml:space="preserve"> and 166 mm</w:t>
      </w:r>
      <w:r w:rsidRPr="00A442E4">
        <w:rPr>
          <w:sz w:val="20"/>
          <w:szCs w:val="20"/>
          <w:vertAlign w:val="superscript"/>
        </w:rPr>
        <w:t>2</w:t>
      </w:r>
      <w:r w:rsidRPr="00A442E4">
        <w:rPr>
          <w:sz w:val="20"/>
          <w:szCs w:val="20"/>
        </w:rPr>
        <w:t>/m is 26%. However, increasing the reinforcement area from 166 mm</w:t>
      </w:r>
      <w:r w:rsidRPr="00A442E4">
        <w:rPr>
          <w:sz w:val="20"/>
          <w:szCs w:val="20"/>
          <w:vertAlign w:val="superscript"/>
        </w:rPr>
        <w:t>2</w:t>
      </w:r>
      <w:r w:rsidRPr="00A442E4">
        <w:rPr>
          <w:sz w:val="20"/>
          <w:szCs w:val="20"/>
        </w:rPr>
        <w:t>/m to 193 mm</w:t>
      </w:r>
      <w:r w:rsidRPr="00A442E4">
        <w:rPr>
          <w:sz w:val="20"/>
          <w:szCs w:val="20"/>
          <w:vertAlign w:val="superscript"/>
        </w:rPr>
        <w:t>2</w:t>
      </w:r>
      <w:r w:rsidRPr="00A442E4">
        <w:rPr>
          <w:sz w:val="20"/>
          <w:szCs w:val="20"/>
        </w:rPr>
        <w:t xml:space="preserve">/m results </w:t>
      </w:r>
      <w:proofErr w:type="gramStart"/>
      <w:r w:rsidRPr="00A442E4">
        <w:rPr>
          <w:sz w:val="20"/>
          <w:szCs w:val="20"/>
        </w:rPr>
        <w:t>in a capacity increases</w:t>
      </w:r>
      <w:proofErr w:type="gramEnd"/>
      <w:r w:rsidRPr="00A442E4">
        <w:rPr>
          <w:sz w:val="20"/>
          <w:szCs w:val="20"/>
        </w:rPr>
        <w:t xml:space="preserve"> of over 100%. Similar observations are made with respect to the other deflection limits with reinforcement areas above 200 mm</w:t>
      </w:r>
      <w:r w:rsidRPr="00A442E4">
        <w:rPr>
          <w:sz w:val="20"/>
          <w:szCs w:val="20"/>
          <w:vertAlign w:val="superscript"/>
        </w:rPr>
        <w:t>2</w:t>
      </w:r>
      <w:r w:rsidRPr="00A442E4">
        <w:rPr>
          <w:sz w:val="20"/>
          <w:szCs w:val="20"/>
        </w:rPr>
        <w:t>/m. Vulcan on the other hand registers a maximum capacity increase of only 30% between 142 mm</w:t>
      </w:r>
      <w:r w:rsidRPr="00A442E4">
        <w:rPr>
          <w:sz w:val="20"/>
          <w:szCs w:val="20"/>
          <w:vertAlign w:val="superscript"/>
        </w:rPr>
        <w:t>2</w:t>
      </w:r>
      <w:r w:rsidRPr="00A442E4">
        <w:rPr>
          <w:sz w:val="20"/>
          <w:szCs w:val="20"/>
        </w:rPr>
        <w:t>/m and 393 mm</w:t>
      </w:r>
      <w:r w:rsidRPr="00A442E4">
        <w:rPr>
          <w:sz w:val="20"/>
          <w:szCs w:val="20"/>
          <w:vertAlign w:val="superscript"/>
        </w:rPr>
        <w:t>2</w:t>
      </w:r>
      <w:r w:rsidRPr="00A442E4">
        <w:rPr>
          <w:sz w:val="20"/>
          <w:szCs w:val="20"/>
        </w:rPr>
        <w:t xml:space="preserve">/m. </w:t>
      </w:r>
    </w:p>
    <w:p w:rsidR="0003108B" w:rsidRPr="00A442E4" w:rsidRDefault="0003108B" w:rsidP="00A442E4">
      <w:pPr>
        <w:spacing w:line="360" w:lineRule="auto"/>
        <w:rPr>
          <w:sz w:val="20"/>
          <w:szCs w:val="20"/>
        </w:rPr>
      </w:pPr>
    </w:p>
    <w:p w:rsidR="0003108B" w:rsidRPr="00A442E4" w:rsidRDefault="0003108B" w:rsidP="00A442E4">
      <w:pPr>
        <w:spacing w:line="360" w:lineRule="auto"/>
        <w:rPr>
          <w:sz w:val="20"/>
          <w:szCs w:val="20"/>
        </w:rPr>
      </w:pPr>
      <w:r w:rsidRPr="00A442E4">
        <w:rPr>
          <w:sz w:val="20"/>
          <w:szCs w:val="20"/>
        </w:rPr>
        <w:t xml:space="preserve">The 9 m x 6 m, 9 m x 12 m and 9 m x 9 m slab panels are re-designed for these higher fire resistance times by selecting appropriate beam sizes, fire protection and slab thicknesses to ensure that the load ratios of all beams lie between 0.4 and 0.5, considering increased loadings on the protected secondary beams at the fire limit state. Also, the reinforcement depth is maintained at 45 mm from the top surface of the slab. Again the fire protection ensures that the protected beam temperatures reach a maximum of 550 °C at the respective fire resistance times, on exposure to the standard fire curve. The beam specifications for the 90 and 120 min cases are shown in Table 4. The slab panel collapse times and corresponding intermediate and protected secondary beam temperatures are shown in Table 5. Vulcan failure times for the 9 m x 6 m, 9 m x 12 m and 9 m x 9 m slab panels with respect to the </w:t>
      </w:r>
      <w:proofErr w:type="spellStart"/>
      <w:r w:rsidRPr="00A442E4">
        <w:rPr>
          <w:sz w:val="20"/>
          <w:szCs w:val="20"/>
        </w:rPr>
        <w:t>Tslab</w:t>
      </w:r>
      <w:proofErr w:type="spellEnd"/>
      <w:r w:rsidRPr="00A442E4">
        <w:rPr>
          <w:sz w:val="20"/>
          <w:szCs w:val="20"/>
        </w:rPr>
        <w:t xml:space="preserve">, BRE and span/20 deflection limits for 60, 90 and 120 min panels are plotted together in Figure 11. Since the 60 min designs have already been highlighted in Figure 10, they are shown as thinner lines, in the background of each figure. The line </w:t>
      </w:r>
      <w:proofErr w:type="spellStart"/>
      <w:r w:rsidRPr="00A442E4">
        <w:rPr>
          <w:sz w:val="20"/>
          <w:szCs w:val="20"/>
        </w:rPr>
        <w:t>codings</w:t>
      </w:r>
      <w:proofErr w:type="spellEnd"/>
      <w:r w:rsidRPr="00A442E4">
        <w:rPr>
          <w:sz w:val="20"/>
          <w:szCs w:val="20"/>
        </w:rPr>
        <w:t xml:space="preserve"> used in the previous figure are maintained for Figure 11.</w:t>
      </w:r>
    </w:p>
    <w:p w:rsidR="0003108B" w:rsidRPr="00A442E4" w:rsidRDefault="0003108B" w:rsidP="00A442E4">
      <w:pPr>
        <w:spacing w:line="360" w:lineRule="auto"/>
        <w:rPr>
          <w:sz w:val="20"/>
          <w:szCs w:val="20"/>
        </w:rPr>
      </w:pPr>
    </w:p>
    <w:p w:rsidR="0003108B" w:rsidRPr="00A442E4" w:rsidRDefault="0003108B" w:rsidP="00A442E4">
      <w:pPr>
        <w:spacing w:line="360" w:lineRule="auto"/>
        <w:rPr>
          <w:sz w:val="20"/>
          <w:szCs w:val="20"/>
        </w:rPr>
      </w:pPr>
      <w:r w:rsidRPr="00A442E4">
        <w:rPr>
          <w:sz w:val="20"/>
          <w:szCs w:val="20"/>
        </w:rPr>
        <w:t>From Figure 11(a), it is seen that lower reinforcement area does not significantly influence slab panel failure times for the 90 and 120 min cases. Mesh sizes above 280 mm</w:t>
      </w:r>
      <w:r w:rsidRPr="00A442E4">
        <w:rPr>
          <w:sz w:val="20"/>
          <w:szCs w:val="20"/>
          <w:vertAlign w:val="superscript"/>
        </w:rPr>
        <w:t>2</w:t>
      </w:r>
      <w:r w:rsidRPr="00A442E4">
        <w:rPr>
          <w:sz w:val="20"/>
          <w:szCs w:val="20"/>
        </w:rPr>
        <w:t xml:space="preserve">/m show significant increases in capacity with increasing reinforcement. A similar trend is observed in the 9 m x 12 m slab panel (Figure 11(b)). An examination of the results of the 9 m x 9 m slab panel in Figure 11(c) reveals a general increase in failure time with increasing reinforcement area. However, it is observed that mesh sizes </w:t>
      </w:r>
      <w:proofErr w:type="gramStart"/>
      <w:r w:rsidRPr="00A442E4">
        <w:rPr>
          <w:sz w:val="20"/>
          <w:szCs w:val="20"/>
        </w:rPr>
        <w:t>below 240 mm</w:t>
      </w:r>
      <w:r w:rsidRPr="00A442E4">
        <w:rPr>
          <w:sz w:val="20"/>
          <w:szCs w:val="20"/>
          <w:vertAlign w:val="superscript"/>
        </w:rPr>
        <w:t>2</w:t>
      </w:r>
      <w:r w:rsidRPr="00A442E4">
        <w:rPr>
          <w:sz w:val="20"/>
          <w:szCs w:val="20"/>
        </w:rPr>
        <w:t>/m</w:t>
      </w:r>
      <w:proofErr w:type="gramEnd"/>
      <w:r w:rsidRPr="00A442E4">
        <w:rPr>
          <w:sz w:val="20"/>
          <w:szCs w:val="20"/>
        </w:rPr>
        <w:t xml:space="preserve"> hardly influence slab panel capacity, especially in the higher fire resistance category. To investigate the phenomenon further four extra fictitious reinforcement mesh sizes (236.5, 244.25, 260 and </w:t>
      </w:r>
      <w:proofErr w:type="gramStart"/>
      <w:r w:rsidRPr="00A442E4">
        <w:rPr>
          <w:sz w:val="20"/>
          <w:szCs w:val="20"/>
        </w:rPr>
        <w:t>268 mm</w:t>
      </w:r>
      <w:r w:rsidRPr="00A442E4">
        <w:rPr>
          <w:sz w:val="20"/>
          <w:szCs w:val="20"/>
          <w:vertAlign w:val="superscript"/>
        </w:rPr>
        <w:t>2</w:t>
      </w:r>
      <w:r w:rsidRPr="00A442E4">
        <w:rPr>
          <w:sz w:val="20"/>
          <w:szCs w:val="20"/>
        </w:rPr>
        <w:t>/m</w:t>
      </w:r>
      <w:proofErr w:type="gramEnd"/>
      <w:r w:rsidRPr="00A442E4">
        <w:rPr>
          <w:sz w:val="20"/>
          <w:szCs w:val="20"/>
        </w:rPr>
        <w:t xml:space="preserve">) are included in the 120 min 9 m x 9 m slab panel analyses. By examining the failure time curve relative to the </w:t>
      </w:r>
      <w:proofErr w:type="spellStart"/>
      <w:r w:rsidRPr="00A442E4">
        <w:rPr>
          <w:sz w:val="20"/>
          <w:szCs w:val="20"/>
        </w:rPr>
        <w:t>Tslab</w:t>
      </w:r>
      <w:proofErr w:type="spellEnd"/>
      <w:r w:rsidRPr="00A442E4">
        <w:rPr>
          <w:sz w:val="20"/>
          <w:szCs w:val="20"/>
        </w:rPr>
        <w:t xml:space="preserve"> deflection limit for the 120 min design scenario, even with the increased number of reinforcement areas, it is evident that two conditions exist for failure. The same phenomenon is however not recorded in the 60 min case (Figure 10(c)), which shows a continuous increase in slab panel capacity with increasing reinforcement size.</w:t>
      </w:r>
    </w:p>
    <w:p w:rsidR="0003108B" w:rsidRPr="00A442E4" w:rsidRDefault="0003108B" w:rsidP="00A442E4">
      <w:pPr>
        <w:spacing w:line="360" w:lineRule="auto"/>
        <w:rPr>
          <w:sz w:val="20"/>
          <w:szCs w:val="20"/>
        </w:rPr>
      </w:pPr>
    </w:p>
    <w:p w:rsidR="0003108B" w:rsidRDefault="0003108B" w:rsidP="00A442E4">
      <w:pPr>
        <w:spacing w:line="360" w:lineRule="auto"/>
        <w:rPr>
          <w:b/>
          <w:sz w:val="20"/>
          <w:szCs w:val="20"/>
        </w:rPr>
      </w:pPr>
      <w:r w:rsidRPr="00A442E4">
        <w:rPr>
          <w:b/>
          <w:sz w:val="20"/>
          <w:szCs w:val="20"/>
        </w:rPr>
        <w:t>4. Conclusions</w:t>
      </w:r>
    </w:p>
    <w:p w:rsidR="0006269A" w:rsidRPr="00A442E4" w:rsidRDefault="0006269A" w:rsidP="00A442E4">
      <w:pPr>
        <w:spacing w:line="360" w:lineRule="auto"/>
        <w:rPr>
          <w:b/>
          <w:sz w:val="20"/>
          <w:szCs w:val="20"/>
        </w:rPr>
      </w:pPr>
    </w:p>
    <w:p w:rsidR="0003108B" w:rsidRPr="00A442E4" w:rsidRDefault="0006269A" w:rsidP="00A442E4">
      <w:pPr>
        <w:spacing w:line="360" w:lineRule="auto"/>
        <w:rPr>
          <w:sz w:val="20"/>
          <w:szCs w:val="20"/>
        </w:rPr>
      </w:pPr>
      <w:r w:rsidRPr="0006269A">
        <w:rPr>
          <w:noProof/>
          <w:sz w:val="20"/>
          <w:szCs w:val="20"/>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5038725" cy="23907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2390775"/>
                        </a:xfrm>
                        <a:prstGeom prst="rect">
                          <a:avLst/>
                        </a:prstGeom>
                        <a:solidFill>
                          <a:srgbClr val="FFFFFF"/>
                        </a:solidFill>
                        <a:ln w="9525">
                          <a:solidFill>
                            <a:srgbClr val="000000"/>
                          </a:solidFill>
                          <a:miter lim="800000"/>
                          <a:headEnd/>
                          <a:tailEnd/>
                        </a:ln>
                      </wps:spPr>
                      <wps:txbx>
                        <w:txbxContent>
                          <w:p w:rsidR="0006269A" w:rsidRDefault="0006269A" w:rsidP="0006269A">
                            <w:pPr>
                              <w:spacing w:line="360" w:lineRule="auto"/>
                              <w:ind w:left="284"/>
                              <w:rPr>
                                <w:i/>
                                <w:sz w:val="20"/>
                                <w:szCs w:val="20"/>
                              </w:rPr>
                            </w:pPr>
                          </w:p>
                          <w:p w:rsidR="0006269A" w:rsidRPr="00A442E4" w:rsidRDefault="0006269A" w:rsidP="0006269A">
                            <w:pPr>
                              <w:spacing w:line="360" w:lineRule="auto"/>
                              <w:ind w:left="284"/>
                              <w:rPr>
                                <w:i/>
                                <w:sz w:val="20"/>
                                <w:szCs w:val="20"/>
                              </w:rPr>
                            </w:pPr>
                            <w:r w:rsidRPr="00A442E4">
                              <w:rPr>
                                <w:i/>
                                <w:sz w:val="20"/>
                                <w:szCs w:val="20"/>
                              </w:rPr>
                              <w:t>Editor</w:t>
                            </w:r>
                            <w:r w:rsidRPr="008C6E90">
                              <w:rPr>
                                <w:i/>
                                <w:sz w:val="20"/>
                                <w:szCs w:val="20"/>
                              </w:rPr>
                              <w:t>’</w:t>
                            </w:r>
                            <w:r w:rsidRPr="00A442E4">
                              <w:rPr>
                                <w:i/>
                                <w:sz w:val="20"/>
                                <w:szCs w:val="20"/>
                              </w:rPr>
                              <w:t>s note: research papers must include a section, at the end of the main text, detailing the practical relevance and potential applications of the work described. This is important to readers working in civil engineering and related practice.</w:t>
                            </w:r>
                          </w:p>
                          <w:p w:rsidR="0006269A" w:rsidRPr="00A442E4" w:rsidRDefault="0006269A" w:rsidP="0006269A">
                            <w:pPr>
                              <w:spacing w:line="360" w:lineRule="auto"/>
                              <w:ind w:left="720"/>
                              <w:rPr>
                                <w:i/>
                                <w:sz w:val="20"/>
                                <w:szCs w:val="20"/>
                              </w:rPr>
                            </w:pPr>
                          </w:p>
                          <w:p w:rsidR="0006269A" w:rsidRPr="0006269A" w:rsidRDefault="0006269A" w:rsidP="0006269A">
                            <w:pPr>
                              <w:spacing w:line="360" w:lineRule="auto"/>
                              <w:ind w:left="284"/>
                              <w:rPr>
                                <w:i/>
                                <w:sz w:val="20"/>
                                <w:szCs w:val="20"/>
                              </w:rPr>
                            </w:pPr>
                            <w:r w:rsidRPr="00A442E4">
                              <w:rPr>
                                <w:i/>
                                <w:sz w:val="20"/>
                                <w:szCs w:val="20"/>
                              </w:rPr>
                              <w:t xml:space="preserve">Similarly, case studies and project papers must highlight the relevance of the work described and summarise the lessons learned. As with research papers, they must also include relevant references to demonstrate how previous research and practice has been used. These references could be standards, codes or relevant past ICE journal papers (search </w:t>
                            </w:r>
                            <w:hyperlink r:id="rId15" w:history="1">
                              <w:r w:rsidRPr="00A442E4">
                                <w:rPr>
                                  <w:rStyle w:val="Hyperlink"/>
                                  <w:rFonts w:cs="Arial"/>
                                  <w:i/>
                                  <w:sz w:val="20"/>
                                  <w:szCs w:val="20"/>
                                </w:rPr>
                                <w:t>here</w:t>
                              </w:r>
                            </w:hyperlink>
                            <w:r w:rsidRPr="00A442E4">
                              <w:rPr>
                                <w: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96.75pt;height:188.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JAIAAEcEAAAOAAAAZHJzL2Uyb0RvYy54bWysU9uO2yAQfa/Uf0C8N3acpEmsOKtttqkq&#10;bS/Sbj8AYxyjAuMCiZ1+/Q7Ym6YX9aEqD4hhhsOZMzObm14rchLWSTAFnU5SSoThUElzKOiXx/2r&#10;FSXOM1MxBUYU9Cwcvdm+fLHp2lxk0ICqhCUIYlzetQVtvG/zJHG8EZq5CbTCoLMGq5lH0x6SyrIO&#10;0bVKsjR9nXRgq9YCF87h7d3gpNuIX9eC+0917YQnqqDIzcfdxr0Me7LdsPxgWdtIPtJg/8BCM2nw&#10;0wvUHfOMHK38DUpLbsFB7SccdAJ1LbmIOWA20/SXbB4a1oqYC4rj2otM7v/B8o+nz5bIqqCzdEmJ&#10;YRqL9Ch6T95AT7KgT9e6HMMeWgz0PV5jnWOurr0H/tURA7uGmYO4tRa6RrAK+U3Dy+Tq6YDjAkjZ&#10;fYAKv2FHDxGor60O4qEcBNGxTudLbQIVjpeLdLZaZgtKOPqy2TpdLhfxD5Y/P2+t8+8EaBIOBbVY&#10;/AjPTvfOBzosfw4JvzlQstpLpaJhD+VOWXJi2Cj7uEb0n8KUIV1B1wsk8neINK4/QWjpseOV1AVd&#10;XYJYHnR7a6rYj55JNZyRsjKjkEG7QUXfl/1YmBKqM0pqYehsnEQ8NGC/U9JhVxfUfTsyKyhR7w2W&#10;ZT2dz8MYRGO+WGZo2GtPee1hhiNUQT0lw3Hn4+iE1A3cYvlqGYUNdR6YjFyxW6Pe42SFcbi2Y9SP&#10;+d8+AQAA//8DAFBLAwQUAAYACAAAACEATOuCVd0AAAAFAQAADwAAAGRycy9kb3ducmV2LnhtbEyP&#10;wU7DMBBE75X6D9YicamoA6FJG+JUCAkEN2gruLrxNolqr4PtpuHvMVzgstJoRjNvy/VoNBvQ+c6S&#10;gOt5AgyptqqjRsBu+3i1BOaDJCW1JRTwhR7W1XRSykLZM73hsAkNiyXkCymgDaEvOPd1i0b6ue2R&#10;onewzsgQpWu4cvIcy43mN0mScSM7igut7PGhxfq4ORkBy9vn4cO/pK/vdXbQqzDLh6dPJ8TlxXh/&#10;ByzgGP7C8IMf0aGKTHt7IuWZFhAfCb83evkqXQDbC0jzbAG8Kvl/+uobAAD//wMAUEsBAi0AFAAG&#10;AAgAAAAhALaDOJL+AAAA4QEAABMAAAAAAAAAAAAAAAAAAAAAAFtDb250ZW50X1R5cGVzXS54bWxQ&#10;SwECLQAUAAYACAAAACEAOP0h/9YAAACUAQAACwAAAAAAAAAAAAAAAAAvAQAAX3JlbHMvLnJlbHNQ&#10;SwECLQAUAAYACAAAACEAf/kFaiQCAABHBAAADgAAAAAAAAAAAAAAAAAuAgAAZHJzL2Uyb0RvYy54&#10;bWxQSwECLQAUAAYACAAAACEATOuCVd0AAAAFAQAADwAAAAAAAAAAAAAAAAB+BAAAZHJzL2Rvd25y&#10;ZXYueG1sUEsFBgAAAAAEAAQA8wAAAIgFAAAAAA==&#10;">
                <v:textbox>
                  <w:txbxContent>
                    <w:p w:rsidR="0006269A" w:rsidRDefault="0006269A" w:rsidP="0006269A">
                      <w:pPr>
                        <w:spacing w:line="360" w:lineRule="auto"/>
                        <w:ind w:left="284"/>
                        <w:rPr>
                          <w:i/>
                          <w:sz w:val="20"/>
                          <w:szCs w:val="20"/>
                        </w:rPr>
                      </w:pPr>
                    </w:p>
                    <w:p w:rsidR="0006269A" w:rsidRPr="00A442E4" w:rsidRDefault="0006269A" w:rsidP="0006269A">
                      <w:pPr>
                        <w:spacing w:line="360" w:lineRule="auto"/>
                        <w:ind w:left="284"/>
                        <w:rPr>
                          <w:i/>
                          <w:sz w:val="20"/>
                          <w:szCs w:val="20"/>
                        </w:rPr>
                      </w:pPr>
                      <w:r w:rsidRPr="00A442E4">
                        <w:rPr>
                          <w:i/>
                          <w:sz w:val="20"/>
                          <w:szCs w:val="20"/>
                        </w:rPr>
                        <w:t>Editor</w:t>
                      </w:r>
                      <w:r w:rsidRPr="008C6E90">
                        <w:rPr>
                          <w:i/>
                          <w:sz w:val="20"/>
                          <w:szCs w:val="20"/>
                        </w:rPr>
                        <w:t>’</w:t>
                      </w:r>
                      <w:r w:rsidRPr="00A442E4">
                        <w:rPr>
                          <w:i/>
                          <w:sz w:val="20"/>
                          <w:szCs w:val="20"/>
                        </w:rPr>
                        <w:t>s note: research papers must include a section, at the end of the main text, detailing the practical relevance and potential applications of the work described. This is important to readers working in civil engineering and related practice.</w:t>
                      </w:r>
                    </w:p>
                    <w:p w:rsidR="0006269A" w:rsidRPr="00A442E4" w:rsidRDefault="0006269A" w:rsidP="0006269A">
                      <w:pPr>
                        <w:spacing w:line="360" w:lineRule="auto"/>
                        <w:ind w:left="720"/>
                        <w:rPr>
                          <w:i/>
                          <w:sz w:val="20"/>
                          <w:szCs w:val="20"/>
                        </w:rPr>
                      </w:pPr>
                    </w:p>
                    <w:p w:rsidR="0006269A" w:rsidRPr="0006269A" w:rsidRDefault="0006269A" w:rsidP="0006269A">
                      <w:pPr>
                        <w:spacing w:line="360" w:lineRule="auto"/>
                        <w:ind w:left="284"/>
                        <w:rPr>
                          <w:i/>
                          <w:sz w:val="20"/>
                          <w:szCs w:val="20"/>
                        </w:rPr>
                      </w:pPr>
                      <w:r w:rsidRPr="00A442E4">
                        <w:rPr>
                          <w:i/>
                          <w:sz w:val="20"/>
                          <w:szCs w:val="20"/>
                        </w:rPr>
                        <w:t xml:space="preserve">Similarly, case studies and project papers must highlight the relevance of the work described and summarise the lessons learned. As with research papers, they must also include relevant references to demonstrate how previous research and practice has been used. These references could be standards, codes or relevant past ICE journal papers (search </w:t>
                      </w:r>
                      <w:hyperlink r:id="rId16" w:history="1">
                        <w:r w:rsidRPr="00A442E4">
                          <w:rPr>
                            <w:rStyle w:val="Hyperlink"/>
                            <w:rFonts w:cs="Arial"/>
                            <w:i/>
                            <w:sz w:val="20"/>
                            <w:szCs w:val="20"/>
                          </w:rPr>
                          <w:t>here</w:t>
                        </w:r>
                      </w:hyperlink>
                      <w:r w:rsidRPr="00A442E4">
                        <w:rPr>
                          <w:i/>
                          <w:sz w:val="20"/>
                          <w:szCs w:val="20"/>
                        </w:rPr>
                        <w:t>).</w:t>
                      </w:r>
                    </w:p>
                  </w:txbxContent>
                </v:textbox>
              </v:shape>
            </w:pict>
          </mc:Fallback>
        </mc:AlternateContent>
      </w:r>
    </w:p>
    <w:p w:rsidR="0006269A" w:rsidRDefault="0006269A" w:rsidP="00A442E4">
      <w:pPr>
        <w:spacing w:line="360" w:lineRule="auto"/>
        <w:rPr>
          <w:sz w:val="20"/>
          <w:szCs w:val="20"/>
        </w:rPr>
      </w:pPr>
    </w:p>
    <w:p w:rsidR="0006269A" w:rsidRDefault="0006269A" w:rsidP="00A442E4">
      <w:pPr>
        <w:spacing w:line="360" w:lineRule="auto"/>
        <w:rPr>
          <w:sz w:val="20"/>
          <w:szCs w:val="20"/>
        </w:rPr>
      </w:pPr>
    </w:p>
    <w:p w:rsidR="0006269A" w:rsidRDefault="0006269A" w:rsidP="00A442E4">
      <w:pPr>
        <w:spacing w:line="360" w:lineRule="auto"/>
        <w:rPr>
          <w:sz w:val="20"/>
          <w:szCs w:val="20"/>
        </w:rPr>
      </w:pPr>
    </w:p>
    <w:p w:rsidR="0006269A" w:rsidRDefault="0006269A" w:rsidP="00A442E4">
      <w:pPr>
        <w:spacing w:line="360" w:lineRule="auto"/>
        <w:rPr>
          <w:sz w:val="20"/>
          <w:szCs w:val="20"/>
        </w:rPr>
      </w:pPr>
    </w:p>
    <w:p w:rsidR="0006269A" w:rsidRDefault="0006269A" w:rsidP="00A442E4">
      <w:pPr>
        <w:spacing w:line="360" w:lineRule="auto"/>
        <w:rPr>
          <w:sz w:val="20"/>
          <w:szCs w:val="20"/>
        </w:rPr>
      </w:pPr>
    </w:p>
    <w:p w:rsidR="0006269A" w:rsidRDefault="0006269A" w:rsidP="00A442E4">
      <w:pPr>
        <w:spacing w:line="360" w:lineRule="auto"/>
        <w:rPr>
          <w:sz w:val="20"/>
          <w:szCs w:val="20"/>
        </w:rPr>
      </w:pPr>
    </w:p>
    <w:p w:rsidR="0006269A" w:rsidRDefault="0006269A" w:rsidP="00A442E4">
      <w:pPr>
        <w:spacing w:line="360" w:lineRule="auto"/>
        <w:rPr>
          <w:sz w:val="20"/>
          <w:szCs w:val="20"/>
        </w:rPr>
      </w:pPr>
    </w:p>
    <w:p w:rsidR="0006269A" w:rsidRDefault="0006269A" w:rsidP="00A442E4">
      <w:pPr>
        <w:spacing w:line="360" w:lineRule="auto"/>
        <w:rPr>
          <w:sz w:val="20"/>
          <w:szCs w:val="20"/>
        </w:rPr>
      </w:pPr>
    </w:p>
    <w:p w:rsidR="0006269A" w:rsidRDefault="0006269A" w:rsidP="00A442E4">
      <w:pPr>
        <w:spacing w:line="360" w:lineRule="auto"/>
        <w:rPr>
          <w:sz w:val="20"/>
          <w:szCs w:val="20"/>
        </w:rPr>
      </w:pPr>
    </w:p>
    <w:p w:rsidR="0006269A" w:rsidRDefault="0006269A" w:rsidP="00A442E4">
      <w:pPr>
        <w:spacing w:line="360" w:lineRule="auto"/>
        <w:rPr>
          <w:sz w:val="20"/>
          <w:szCs w:val="20"/>
        </w:rPr>
      </w:pPr>
    </w:p>
    <w:p w:rsidR="0006269A" w:rsidRDefault="0006269A" w:rsidP="00A442E4">
      <w:pPr>
        <w:spacing w:line="360" w:lineRule="auto"/>
        <w:rPr>
          <w:sz w:val="20"/>
          <w:szCs w:val="20"/>
        </w:rPr>
      </w:pPr>
    </w:p>
    <w:p w:rsidR="0003108B" w:rsidRPr="00A442E4" w:rsidRDefault="0003108B" w:rsidP="00A442E4">
      <w:pPr>
        <w:spacing w:line="360" w:lineRule="auto"/>
        <w:rPr>
          <w:sz w:val="20"/>
          <w:szCs w:val="20"/>
        </w:rPr>
      </w:pPr>
      <w:r w:rsidRPr="00A442E4">
        <w:rPr>
          <w:sz w:val="20"/>
          <w:szCs w:val="20"/>
        </w:rPr>
        <w:t xml:space="preserve">The analyses and comparisons made in this investigation confirm a discrepancy between the original Bailey-BRE method and its development to </w:t>
      </w:r>
      <w:proofErr w:type="spellStart"/>
      <w:r w:rsidRPr="00A442E4">
        <w:rPr>
          <w:sz w:val="20"/>
          <w:szCs w:val="20"/>
        </w:rPr>
        <w:t>Tslab</w:t>
      </w:r>
      <w:proofErr w:type="spellEnd"/>
      <w:r w:rsidRPr="00A442E4">
        <w:rPr>
          <w:sz w:val="20"/>
          <w:szCs w:val="20"/>
        </w:rPr>
        <w:t>, in their interpretation of deflection limits. The results also show that, even after recent development, the Bailey-BRE method loses its conservatism with higher reinforcement ratios. The method</w:t>
      </w:r>
      <w:r w:rsidRPr="008C6E90">
        <w:rPr>
          <w:sz w:val="20"/>
          <w:szCs w:val="20"/>
        </w:rPr>
        <w:t>’</w:t>
      </w:r>
      <w:r w:rsidRPr="00A442E4">
        <w:rPr>
          <w:sz w:val="20"/>
          <w:szCs w:val="20"/>
        </w:rPr>
        <w:t xml:space="preserve">s reliance on calculating the deflection required to enhance the traditional yield-line capacity, without adequate consideration of the stability of the edge beams, results in very optimistic predictions of slab panel resistance with larger mesh sizes. On the other hand the finite-element analyses show that, when load redistributions, aspect ratios and edge beam deflections are considered, only marginal increases in slab panel capacity are obtained with increasing reinforcement size, and the slab panel eventually fails by edge beam failure. The simple edge-beam collapse mechanism is found to give accurate predictions of slab panel runaway failure. The comparison indicates that </w:t>
      </w:r>
      <w:r w:rsidRPr="00A442E4">
        <w:rPr>
          <w:sz w:val="20"/>
          <w:szCs w:val="20"/>
        </w:rPr>
        <w:lastRenderedPageBreak/>
        <w:t>this mechanism needs to be added to the Bailey-BRE method, since edge beams do not stay cold throughout a fire.</w:t>
      </w:r>
    </w:p>
    <w:p w:rsidR="0003108B" w:rsidRPr="00A442E4" w:rsidRDefault="0003108B" w:rsidP="00A442E4">
      <w:pPr>
        <w:spacing w:line="360" w:lineRule="auto"/>
        <w:rPr>
          <w:sz w:val="20"/>
          <w:szCs w:val="20"/>
        </w:rPr>
      </w:pPr>
    </w:p>
    <w:p w:rsidR="0003108B" w:rsidRPr="00A442E4" w:rsidRDefault="0003108B" w:rsidP="00A442E4">
      <w:pPr>
        <w:spacing w:line="360" w:lineRule="auto"/>
        <w:rPr>
          <w:sz w:val="20"/>
          <w:szCs w:val="20"/>
        </w:rPr>
      </w:pPr>
      <w:r w:rsidRPr="00A442E4">
        <w:rPr>
          <w:sz w:val="20"/>
          <w:szCs w:val="20"/>
        </w:rPr>
        <w:t>Further analyses of the effect of reinforcement size on slab panel capacities reveals that, for small sized panels and lower fire resistance requirements, increasing reinforcement size does not significantly increase the panel capacity. However, it is simply logical that larger mesh sizes are required for large panels. Higher reinforcement ratios are also required for slabs designed for longer fire resistance periods, in order to resist the high initial thermal bending which occurs. In terms of membrane enhancement however, increasing the mesh size has little influence.</w:t>
      </w:r>
    </w:p>
    <w:bookmarkEnd w:id="0"/>
    <w:bookmarkEnd w:id="1"/>
    <w:bookmarkEnd w:id="2"/>
    <w:p w:rsidR="0003108B" w:rsidRPr="00A442E4" w:rsidRDefault="0003108B" w:rsidP="00A442E4">
      <w:pPr>
        <w:spacing w:line="360" w:lineRule="auto"/>
        <w:rPr>
          <w:b/>
          <w:sz w:val="20"/>
          <w:szCs w:val="20"/>
        </w:rPr>
      </w:pPr>
    </w:p>
    <w:p w:rsidR="0003108B" w:rsidRPr="00A442E4" w:rsidRDefault="0003108B" w:rsidP="00A442E4">
      <w:pPr>
        <w:spacing w:line="360" w:lineRule="auto"/>
        <w:rPr>
          <w:b/>
          <w:sz w:val="20"/>
          <w:szCs w:val="20"/>
        </w:rPr>
      </w:pPr>
      <w:r w:rsidRPr="00A442E4">
        <w:rPr>
          <w:b/>
          <w:sz w:val="20"/>
          <w:szCs w:val="20"/>
        </w:rPr>
        <w:t>Acknowledgements</w:t>
      </w:r>
    </w:p>
    <w:p w:rsidR="0003108B" w:rsidRPr="00A442E4" w:rsidRDefault="0003108B" w:rsidP="00A442E4">
      <w:pPr>
        <w:spacing w:line="360" w:lineRule="auto"/>
        <w:rPr>
          <w:sz w:val="20"/>
          <w:szCs w:val="20"/>
        </w:rPr>
      </w:pPr>
      <w:r w:rsidRPr="00A442E4">
        <w:rPr>
          <w:sz w:val="20"/>
          <w:szCs w:val="20"/>
        </w:rPr>
        <w:t>The authors would like to acknowledge the XXXXXXXXXXX scheme, the University of XXXX and XXXX PLC, which collectively funded this project.</w:t>
      </w:r>
    </w:p>
    <w:p w:rsidR="0003108B" w:rsidRPr="00A442E4" w:rsidRDefault="0003108B" w:rsidP="00A442E4">
      <w:pPr>
        <w:spacing w:line="360" w:lineRule="auto"/>
        <w:rPr>
          <w:b/>
          <w:sz w:val="20"/>
          <w:szCs w:val="20"/>
        </w:rPr>
      </w:pPr>
    </w:p>
    <w:p w:rsidR="0003108B" w:rsidRPr="00A442E4" w:rsidRDefault="0003108B" w:rsidP="00A442E4">
      <w:pPr>
        <w:spacing w:line="360" w:lineRule="auto"/>
        <w:rPr>
          <w:b/>
          <w:sz w:val="20"/>
          <w:szCs w:val="20"/>
        </w:rPr>
      </w:pPr>
      <w:r w:rsidRPr="00A442E4">
        <w:rPr>
          <w:b/>
          <w:sz w:val="20"/>
          <w:szCs w:val="20"/>
        </w:rPr>
        <w:t>References</w:t>
      </w:r>
      <w:r w:rsidRPr="00A442E4">
        <w:rPr>
          <w:sz w:val="20"/>
          <w:szCs w:val="20"/>
        </w:rPr>
        <w:t xml:space="preserve"> (</w:t>
      </w:r>
      <w:r w:rsidR="00D425AF">
        <w:rPr>
          <w:sz w:val="20"/>
          <w:szCs w:val="20"/>
        </w:rPr>
        <w:t xml:space="preserve">examples only, </w:t>
      </w:r>
      <w:r w:rsidRPr="00A442E4">
        <w:rPr>
          <w:sz w:val="20"/>
          <w:szCs w:val="20"/>
        </w:rPr>
        <w:t xml:space="preserve">click </w:t>
      </w:r>
      <w:hyperlink r:id="rId17" w:history="1">
        <w:r w:rsidRPr="00A442E4">
          <w:rPr>
            <w:rStyle w:val="Hyperlink"/>
            <w:rFonts w:cs="Arial"/>
            <w:sz w:val="20"/>
            <w:szCs w:val="20"/>
          </w:rPr>
          <w:t>here</w:t>
        </w:r>
      </w:hyperlink>
      <w:r w:rsidRPr="00A442E4">
        <w:rPr>
          <w:sz w:val="20"/>
          <w:szCs w:val="20"/>
        </w:rPr>
        <w:t xml:space="preserve"> for </w:t>
      </w:r>
      <w:r w:rsidR="00D425AF">
        <w:rPr>
          <w:sz w:val="20"/>
          <w:szCs w:val="20"/>
        </w:rPr>
        <w:t xml:space="preserve">full </w:t>
      </w:r>
      <w:r w:rsidRPr="00A442E4">
        <w:rPr>
          <w:sz w:val="20"/>
          <w:szCs w:val="20"/>
        </w:rPr>
        <w:t>details of how to cite your references)</w:t>
      </w:r>
    </w:p>
    <w:p w:rsidR="00C32247" w:rsidRDefault="00D425AF" w:rsidP="00C32247">
      <w:pPr>
        <w:pStyle w:val="Default"/>
        <w:spacing w:line="360" w:lineRule="auto"/>
        <w:ind w:left="284" w:hanging="284"/>
        <w:rPr>
          <w:sz w:val="20"/>
          <w:szCs w:val="20"/>
        </w:rPr>
      </w:pPr>
      <w:proofErr w:type="gramStart"/>
      <w:r w:rsidRPr="00A442E4">
        <w:rPr>
          <w:sz w:val="20"/>
          <w:szCs w:val="20"/>
        </w:rPr>
        <w:t xml:space="preserve">BS 5950-3 </w:t>
      </w:r>
      <w:r>
        <w:rPr>
          <w:sz w:val="20"/>
          <w:szCs w:val="20"/>
        </w:rPr>
        <w:t>(</w:t>
      </w:r>
      <w:r w:rsidRPr="00A442E4">
        <w:rPr>
          <w:sz w:val="20"/>
          <w:szCs w:val="20"/>
        </w:rPr>
        <w:t>1990</w:t>
      </w:r>
      <w:r>
        <w:rPr>
          <w:sz w:val="20"/>
          <w:szCs w:val="20"/>
        </w:rPr>
        <w:t>)</w:t>
      </w:r>
      <w:r w:rsidR="00C32247">
        <w:rPr>
          <w:sz w:val="20"/>
          <w:szCs w:val="20"/>
        </w:rPr>
        <w:t>.</w:t>
      </w:r>
      <w:proofErr w:type="gramEnd"/>
      <w:r w:rsidR="00C32247">
        <w:rPr>
          <w:sz w:val="20"/>
          <w:szCs w:val="20"/>
        </w:rPr>
        <w:t xml:space="preserve"> </w:t>
      </w:r>
      <w:proofErr w:type="gramStart"/>
      <w:r w:rsidR="00C32247">
        <w:rPr>
          <w:sz w:val="20"/>
          <w:szCs w:val="20"/>
        </w:rPr>
        <w:t>Tests for geometrical properties of aggregates.</w:t>
      </w:r>
      <w:proofErr w:type="gramEnd"/>
      <w:r w:rsidR="00C32247">
        <w:rPr>
          <w:sz w:val="20"/>
          <w:szCs w:val="20"/>
        </w:rPr>
        <w:t xml:space="preserve"> </w:t>
      </w:r>
      <w:proofErr w:type="gramStart"/>
      <w:r w:rsidR="00C32247">
        <w:rPr>
          <w:sz w:val="20"/>
          <w:szCs w:val="20"/>
        </w:rPr>
        <w:t>Determination of particle size distribution.</w:t>
      </w:r>
      <w:proofErr w:type="gramEnd"/>
      <w:r w:rsidR="00C32247">
        <w:rPr>
          <w:sz w:val="20"/>
          <w:szCs w:val="20"/>
        </w:rPr>
        <w:t xml:space="preserve"> Test sieves, nominal size of apertures. </w:t>
      </w:r>
      <w:proofErr w:type="gramStart"/>
      <w:r w:rsidR="00C32247">
        <w:rPr>
          <w:sz w:val="20"/>
          <w:szCs w:val="20"/>
        </w:rPr>
        <w:t>BSI, London, UK.</w:t>
      </w:r>
      <w:proofErr w:type="gramEnd"/>
      <w:r w:rsidR="00C32247">
        <w:rPr>
          <w:sz w:val="20"/>
          <w:szCs w:val="20"/>
        </w:rPr>
        <w:t xml:space="preserve"> </w:t>
      </w:r>
    </w:p>
    <w:p w:rsidR="00C32247" w:rsidRDefault="00C32247" w:rsidP="00C32247">
      <w:pPr>
        <w:pStyle w:val="Referencetext"/>
        <w:spacing w:line="360" w:lineRule="auto"/>
        <w:jc w:val="left"/>
      </w:pPr>
      <w:r w:rsidRPr="00A442E4">
        <w:t>Bailey and Moore (2000)</w:t>
      </w:r>
      <w:r>
        <w:t xml:space="preserve"> </w:t>
      </w:r>
      <w:proofErr w:type="gramStart"/>
      <w:r w:rsidRPr="00C32247">
        <w:t>Electrochemical</w:t>
      </w:r>
      <w:proofErr w:type="gramEnd"/>
      <w:r w:rsidRPr="00C32247">
        <w:t xml:space="preserve"> removal of chlorides from concrete. In Proceedings of a Conference on the Rehabilitation of Concrete Structures (Smith DW and Lewis F (</w:t>
      </w:r>
      <w:proofErr w:type="spellStart"/>
      <w:proofErr w:type="gramStart"/>
      <w:r w:rsidRPr="00C32247">
        <w:t>eds</w:t>
      </w:r>
      <w:proofErr w:type="spellEnd"/>
      <w:proofErr w:type="gramEnd"/>
      <w:r w:rsidRPr="00C32247">
        <w:t>)). Thomas Telford, London, UK, pp. 2–30.</w:t>
      </w:r>
    </w:p>
    <w:p w:rsidR="00C32247" w:rsidRDefault="00C32247" w:rsidP="00A442E4">
      <w:pPr>
        <w:pStyle w:val="Referencetext"/>
        <w:spacing w:line="360" w:lineRule="auto"/>
        <w:jc w:val="left"/>
      </w:pPr>
      <w:proofErr w:type="gramStart"/>
      <w:r w:rsidRPr="00A442E4">
        <w:t xml:space="preserve">Bailey and </w:t>
      </w:r>
      <w:proofErr w:type="spellStart"/>
      <w:r w:rsidRPr="00A442E4">
        <w:t>Toh</w:t>
      </w:r>
      <w:proofErr w:type="spellEnd"/>
      <w:r w:rsidRPr="00A442E4">
        <w:t xml:space="preserve"> (2007a)</w:t>
      </w:r>
      <w:r>
        <w:t xml:space="preserve"> </w:t>
      </w:r>
      <w:r>
        <w:rPr>
          <w:i/>
          <w:iCs/>
        </w:rPr>
        <w:t>A Study of Breakdown in Concrete</w:t>
      </w:r>
      <w:r>
        <w:t>.</w:t>
      </w:r>
      <w:proofErr w:type="gramEnd"/>
      <w:r>
        <w:t xml:space="preserve"> </w:t>
      </w:r>
      <w:proofErr w:type="gramStart"/>
      <w:r>
        <w:t>American Concrete Institute, Farmington Hills, MI, USA, Report STP 67, pp. 1–10.</w:t>
      </w:r>
      <w:proofErr w:type="gramEnd"/>
    </w:p>
    <w:p w:rsidR="00C32247" w:rsidRDefault="00C32247" w:rsidP="00A442E4">
      <w:pPr>
        <w:pStyle w:val="Referencetext"/>
        <w:spacing w:line="360" w:lineRule="auto"/>
        <w:jc w:val="left"/>
      </w:pPr>
      <w:proofErr w:type="spellStart"/>
      <w:proofErr w:type="gramStart"/>
      <w:r>
        <w:t>Bobb</w:t>
      </w:r>
      <w:proofErr w:type="spellEnd"/>
      <w:r>
        <w:t xml:space="preserve"> G (1963) </w:t>
      </w:r>
      <w:r>
        <w:rPr>
          <w:i/>
          <w:iCs/>
        </w:rPr>
        <w:t>Methods and Machines</w:t>
      </w:r>
      <w:r>
        <w:t>.</w:t>
      </w:r>
      <w:proofErr w:type="gramEnd"/>
      <w:r>
        <w:t xml:space="preserve"> </w:t>
      </w:r>
      <w:proofErr w:type="gramStart"/>
      <w:r>
        <w:t>Canadian Patent 672 051, Oct.</w:t>
      </w:r>
      <w:proofErr w:type="gramEnd"/>
      <w:r>
        <w:t xml:space="preserve"> </w:t>
      </w:r>
    </w:p>
    <w:p w:rsidR="0003108B" w:rsidRPr="00A442E4" w:rsidRDefault="0003108B" w:rsidP="00A442E4">
      <w:pPr>
        <w:pStyle w:val="Referencetext"/>
        <w:spacing w:line="360" w:lineRule="auto"/>
        <w:jc w:val="left"/>
        <w:rPr>
          <w:lang w:eastAsia="en-GB"/>
        </w:rPr>
      </w:pPr>
      <w:r w:rsidRPr="00A442E4">
        <w:rPr>
          <w:lang w:eastAsia="en-GB"/>
        </w:rPr>
        <w:t xml:space="preserve">Chapman DN, Rogers CDF and Ng PCF (2005) Predicting ground displacements caused by </w:t>
      </w:r>
      <w:proofErr w:type="spellStart"/>
      <w:r w:rsidRPr="00A442E4">
        <w:rPr>
          <w:lang w:eastAsia="en-GB"/>
        </w:rPr>
        <w:t>pipesplitting</w:t>
      </w:r>
      <w:proofErr w:type="spellEnd"/>
      <w:r w:rsidRPr="00A442E4">
        <w:rPr>
          <w:lang w:eastAsia="en-GB"/>
        </w:rPr>
        <w:t xml:space="preserve">. Proceedings of the Institution of Civil Engineers </w:t>
      </w:r>
      <w:r w:rsidRPr="008C6E90">
        <w:rPr>
          <w:lang w:eastAsia="en-GB"/>
        </w:rPr>
        <w:t>–</w:t>
      </w:r>
      <w:r w:rsidRPr="00A442E4">
        <w:rPr>
          <w:lang w:eastAsia="en-GB"/>
        </w:rPr>
        <w:t xml:space="preserve"> Geotechnical Engineering 158(2): 95</w:t>
      </w:r>
      <w:r w:rsidRPr="008C6E90">
        <w:rPr>
          <w:lang w:eastAsia="en-GB"/>
        </w:rPr>
        <w:t>–</w:t>
      </w:r>
      <w:r w:rsidRPr="00A442E4">
        <w:rPr>
          <w:lang w:eastAsia="en-GB"/>
        </w:rPr>
        <w:t xml:space="preserve">106. </w:t>
      </w:r>
    </w:p>
    <w:p w:rsidR="0003108B" w:rsidRDefault="0003108B" w:rsidP="00A442E4">
      <w:pPr>
        <w:pStyle w:val="Referencetext"/>
        <w:spacing w:line="360" w:lineRule="auto"/>
        <w:jc w:val="left"/>
        <w:rPr>
          <w:lang w:eastAsia="en-GB"/>
        </w:rPr>
      </w:pPr>
      <w:proofErr w:type="gramStart"/>
      <w:r w:rsidRPr="00A442E4">
        <w:rPr>
          <w:lang w:eastAsia="en-GB"/>
        </w:rPr>
        <w:t>Murray EJ and Geddes JD (1987) Uplift of anchor plates in sand.</w:t>
      </w:r>
      <w:proofErr w:type="gramEnd"/>
      <w:r w:rsidRPr="00A442E4">
        <w:rPr>
          <w:lang w:eastAsia="en-GB"/>
        </w:rPr>
        <w:t xml:space="preserve"> Journal of Geotechnical Engineering ASCE 113(3): 202</w:t>
      </w:r>
      <w:r w:rsidRPr="008C6E90">
        <w:rPr>
          <w:lang w:eastAsia="en-GB"/>
        </w:rPr>
        <w:t>–</w:t>
      </w:r>
      <w:r w:rsidRPr="00A442E4">
        <w:rPr>
          <w:lang w:eastAsia="en-GB"/>
        </w:rPr>
        <w:t xml:space="preserve">215. </w:t>
      </w:r>
    </w:p>
    <w:p w:rsidR="00C32247" w:rsidRPr="00A442E4" w:rsidRDefault="00C32247" w:rsidP="00A442E4">
      <w:pPr>
        <w:pStyle w:val="Referencetext"/>
        <w:spacing w:line="360" w:lineRule="auto"/>
        <w:jc w:val="left"/>
        <w:rPr>
          <w:lang w:eastAsia="en-GB"/>
        </w:rPr>
      </w:pPr>
      <w:r>
        <w:t xml:space="preserve">HA (Highways Agency) (2009) </w:t>
      </w:r>
      <w:r>
        <w:rPr>
          <w:i/>
          <w:iCs/>
        </w:rPr>
        <w:t>Act on CO</w:t>
      </w:r>
      <w:r>
        <w:rPr>
          <w:i/>
          <w:iCs/>
          <w:sz w:val="13"/>
          <w:szCs w:val="13"/>
        </w:rPr>
        <w:t xml:space="preserve">2 </w:t>
      </w:r>
      <w:r>
        <w:rPr>
          <w:i/>
          <w:iCs/>
        </w:rPr>
        <w:t>Calculator</w:t>
      </w:r>
      <w:r>
        <w:t>. HA, London, UK. See http://carboncalculator.direct.gov.uk/index.html (accessed 27/06/2011).</w:t>
      </w:r>
    </w:p>
    <w:p w:rsidR="0003108B" w:rsidRDefault="0003108B" w:rsidP="00A442E4">
      <w:pPr>
        <w:pStyle w:val="Referencetext"/>
        <w:spacing w:line="360" w:lineRule="auto"/>
        <w:jc w:val="left"/>
        <w:rPr>
          <w:rStyle w:val="Hyperlink"/>
          <w:rFonts w:cs="Arial"/>
          <w:lang w:eastAsia="en-GB"/>
        </w:rPr>
      </w:pPr>
      <w:proofErr w:type="spellStart"/>
      <w:r w:rsidRPr="00A442E4">
        <w:rPr>
          <w:lang w:eastAsia="en-GB"/>
        </w:rPr>
        <w:t>Wilby</w:t>
      </w:r>
      <w:proofErr w:type="spellEnd"/>
      <w:r w:rsidRPr="00A442E4">
        <w:rPr>
          <w:lang w:eastAsia="en-GB"/>
        </w:rPr>
        <w:t xml:space="preserve"> R, Nicholls R, Warren R et al. (2011) Keeping nuclear and other coastal sites safe from climate change. Proceedings of the Institution of Civil Engineers </w:t>
      </w:r>
      <w:r w:rsidRPr="008C6E90">
        <w:rPr>
          <w:lang w:eastAsia="en-GB"/>
        </w:rPr>
        <w:t>–</w:t>
      </w:r>
      <w:r w:rsidRPr="00A442E4">
        <w:rPr>
          <w:lang w:eastAsia="en-GB"/>
        </w:rPr>
        <w:t xml:space="preserve"> Civil Engineering 164(3): 129</w:t>
      </w:r>
      <w:r w:rsidRPr="008C6E90">
        <w:rPr>
          <w:lang w:eastAsia="en-GB"/>
        </w:rPr>
        <w:t>–</w:t>
      </w:r>
      <w:r w:rsidRPr="00A442E4">
        <w:rPr>
          <w:lang w:eastAsia="en-GB"/>
        </w:rPr>
        <w:t xml:space="preserve">136, </w:t>
      </w:r>
      <w:hyperlink r:id="rId18" w:history="1">
        <w:r w:rsidRPr="00A442E4">
          <w:rPr>
            <w:rStyle w:val="Hyperlink"/>
            <w:rFonts w:cs="Arial"/>
            <w:lang w:eastAsia="en-GB"/>
          </w:rPr>
          <w:t>http://dx.doi.org/10.1680/cien.2011.164.3.129</w:t>
        </w:r>
      </w:hyperlink>
    </w:p>
    <w:p w:rsidR="00C32247" w:rsidRPr="00A442E4" w:rsidRDefault="00C32247" w:rsidP="00A442E4">
      <w:pPr>
        <w:pStyle w:val="Referencetext"/>
        <w:spacing w:line="360" w:lineRule="auto"/>
        <w:jc w:val="left"/>
        <w:rPr>
          <w:lang w:eastAsia="en-GB"/>
        </w:rPr>
      </w:pPr>
      <w:proofErr w:type="gramStart"/>
      <w:r>
        <w:t xml:space="preserve">Traffic Management Act 2004 (2004) </w:t>
      </w:r>
      <w:r>
        <w:rPr>
          <w:i/>
          <w:iCs/>
        </w:rPr>
        <w:t>Elizabeth II.</w:t>
      </w:r>
      <w:proofErr w:type="gramEnd"/>
      <w:r>
        <w:rPr>
          <w:i/>
          <w:iCs/>
        </w:rPr>
        <w:t xml:space="preserve"> </w:t>
      </w:r>
      <w:proofErr w:type="gramStart"/>
      <w:r>
        <w:rPr>
          <w:i/>
          <w:iCs/>
        </w:rPr>
        <w:t>Chapter 18</w:t>
      </w:r>
      <w:r>
        <w:t>.</w:t>
      </w:r>
      <w:proofErr w:type="gramEnd"/>
      <w:r>
        <w:t xml:space="preserve"> Her Majesty’s Stationery Office, London, UK</w:t>
      </w:r>
    </w:p>
    <w:p w:rsidR="0003108B" w:rsidRPr="00A442E4" w:rsidRDefault="0003108B" w:rsidP="00A442E4">
      <w:pPr>
        <w:spacing w:line="360" w:lineRule="auto"/>
        <w:rPr>
          <w:sz w:val="20"/>
          <w:szCs w:val="20"/>
        </w:rPr>
      </w:pPr>
    </w:p>
    <w:p w:rsidR="0003108B" w:rsidRPr="00A442E4" w:rsidRDefault="0003108B" w:rsidP="00A442E4">
      <w:pPr>
        <w:pStyle w:val="Referencetext"/>
        <w:spacing w:line="360" w:lineRule="auto"/>
        <w:ind w:left="0" w:firstLine="0"/>
        <w:jc w:val="left"/>
      </w:pPr>
    </w:p>
    <w:p w:rsidR="00D425AF" w:rsidRDefault="00D425AF" w:rsidP="00A442E4">
      <w:pPr>
        <w:spacing w:line="360" w:lineRule="auto"/>
        <w:rPr>
          <w:b/>
          <w:sz w:val="20"/>
          <w:szCs w:val="20"/>
        </w:rPr>
      </w:pPr>
    </w:p>
    <w:p w:rsidR="00D425AF" w:rsidRDefault="00D425AF" w:rsidP="00A442E4">
      <w:pPr>
        <w:spacing w:line="360" w:lineRule="auto"/>
        <w:rPr>
          <w:b/>
          <w:sz w:val="20"/>
          <w:szCs w:val="20"/>
        </w:rPr>
      </w:pPr>
    </w:p>
    <w:p w:rsidR="00D425AF" w:rsidRDefault="00D425AF" w:rsidP="00A442E4">
      <w:pPr>
        <w:spacing w:line="360" w:lineRule="auto"/>
        <w:rPr>
          <w:b/>
          <w:sz w:val="20"/>
          <w:szCs w:val="20"/>
        </w:rPr>
      </w:pPr>
    </w:p>
    <w:p w:rsidR="00D425AF" w:rsidRDefault="0003108B" w:rsidP="00A442E4">
      <w:pPr>
        <w:spacing w:line="360" w:lineRule="auto"/>
        <w:rPr>
          <w:b/>
          <w:sz w:val="20"/>
          <w:szCs w:val="20"/>
        </w:rPr>
      </w:pPr>
      <w:r w:rsidRPr="00A442E4">
        <w:rPr>
          <w:b/>
          <w:sz w:val="20"/>
          <w:szCs w:val="20"/>
        </w:rPr>
        <w:lastRenderedPageBreak/>
        <w:t xml:space="preserve">Figure captions </w:t>
      </w:r>
      <w:r w:rsidRPr="0006269A">
        <w:rPr>
          <w:b/>
          <w:sz w:val="20"/>
          <w:szCs w:val="20"/>
        </w:rPr>
        <w:t xml:space="preserve">(images </w:t>
      </w:r>
      <w:r w:rsidR="00D758EB">
        <w:rPr>
          <w:b/>
          <w:sz w:val="20"/>
          <w:szCs w:val="20"/>
        </w:rPr>
        <w:t xml:space="preserve">as individual files </w:t>
      </w:r>
      <w:r w:rsidRPr="0006269A">
        <w:rPr>
          <w:b/>
          <w:sz w:val="20"/>
          <w:szCs w:val="20"/>
        </w:rPr>
        <w:t xml:space="preserve">separate to </w:t>
      </w:r>
      <w:r w:rsidR="00D758EB">
        <w:rPr>
          <w:b/>
          <w:sz w:val="20"/>
          <w:szCs w:val="20"/>
        </w:rPr>
        <w:t xml:space="preserve">your </w:t>
      </w:r>
      <w:r w:rsidRPr="0006269A">
        <w:rPr>
          <w:b/>
          <w:sz w:val="20"/>
          <w:szCs w:val="20"/>
        </w:rPr>
        <w:t xml:space="preserve">MS Word </w:t>
      </w:r>
      <w:r w:rsidR="00D758EB">
        <w:rPr>
          <w:b/>
          <w:sz w:val="20"/>
          <w:szCs w:val="20"/>
        </w:rPr>
        <w:t xml:space="preserve">text </w:t>
      </w:r>
      <w:r w:rsidRPr="0006269A">
        <w:rPr>
          <w:b/>
          <w:sz w:val="20"/>
          <w:szCs w:val="20"/>
        </w:rPr>
        <w:t>file</w:t>
      </w:r>
      <w:r w:rsidR="00D425AF">
        <w:rPr>
          <w:b/>
          <w:sz w:val="20"/>
          <w:szCs w:val="20"/>
        </w:rPr>
        <w:t>).</w:t>
      </w:r>
    </w:p>
    <w:p w:rsidR="00D425AF" w:rsidRDefault="00D425AF" w:rsidP="00A442E4">
      <w:pPr>
        <w:spacing w:line="360" w:lineRule="auto"/>
        <w:rPr>
          <w:b/>
          <w:sz w:val="20"/>
          <w:szCs w:val="20"/>
        </w:rPr>
      </w:pPr>
      <w:r w:rsidRPr="00D425AF">
        <w:rPr>
          <w:b/>
          <w:noProof/>
          <w:sz w:val="20"/>
          <w:szCs w:val="20"/>
        </w:rPr>
        <mc:AlternateContent>
          <mc:Choice Requires="wps">
            <w:drawing>
              <wp:anchor distT="0" distB="0" distL="114300" distR="114300" simplePos="0" relativeHeight="251661312" behindDoc="0" locked="0" layoutInCell="1" allowOverlap="1" wp14:anchorId="6BBB99FB" wp14:editId="170F2F64">
                <wp:simplePos x="0" y="0"/>
                <wp:positionH relativeFrom="column">
                  <wp:posOffset>1282065</wp:posOffset>
                </wp:positionH>
                <wp:positionV relativeFrom="paragraph">
                  <wp:posOffset>133351</wp:posOffset>
                </wp:positionV>
                <wp:extent cx="2558415" cy="1181100"/>
                <wp:effectExtent l="0" t="0" r="1333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1181100"/>
                        </a:xfrm>
                        <a:prstGeom prst="rect">
                          <a:avLst/>
                        </a:prstGeom>
                        <a:solidFill>
                          <a:srgbClr val="FFFFFF"/>
                        </a:solidFill>
                        <a:ln w="9525">
                          <a:solidFill>
                            <a:srgbClr val="000000"/>
                          </a:solidFill>
                          <a:miter lim="800000"/>
                          <a:headEnd/>
                          <a:tailEnd/>
                        </a:ln>
                      </wps:spPr>
                      <wps:txbx>
                        <w:txbxContent>
                          <w:p w:rsidR="00D425AF" w:rsidRPr="00D425AF" w:rsidRDefault="00D425AF" w:rsidP="00D425AF">
                            <w:pPr>
                              <w:spacing w:line="360" w:lineRule="auto"/>
                              <w:rPr>
                                <w:i/>
                                <w:sz w:val="20"/>
                                <w:szCs w:val="20"/>
                              </w:rPr>
                            </w:pPr>
                            <w:r>
                              <w:rPr>
                                <w:i/>
                                <w:sz w:val="20"/>
                                <w:szCs w:val="20"/>
                              </w:rPr>
                              <w:t>Editor’s note: d</w:t>
                            </w:r>
                            <w:r w:rsidRPr="00D425AF">
                              <w:rPr>
                                <w:i/>
                                <w:sz w:val="20"/>
                                <w:szCs w:val="20"/>
                              </w:rPr>
                              <w:t>o not copy and paste your images into MS Word, this reduces their quality.</w:t>
                            </w:r>
                            <w:r>
                              <w:rPr>
                                <w:i/>
                                <w:sz w:val="20"/>
                                <w:szCs w:val="20"/>
                              </w:rPr>
                              <w:t xml:space="preserve"> Instead upload them to the journal website as separate files</w:t>
                            </w:r>
                            <w:r w:rsidR="004C1E46">
                              <w:rPr>
                                <w:i/>
                                <w:sz w:val="20"/>
                                <w:szCs w:val="20"/>
                              </w:rPr>
                              <w:t xml:space="preserve"> in the format used to originally create them.</w:t>
                            </w:r>
                          </w:p>
                          <w:p w:rsidR="00D425AF" w:rsidRDefault="00D42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00.95pt;margin-top:10.5pt;width:201.4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6f0JwIAAEwEAAAOAAAAZHJzL2Uyb0RvYy54bWysVNuO0zAQfUfiHyy/01zUQDdqulq6FCEt&#10;F2mXD3Acp7GwPcF2m5SvZ+xkSwQ8IfJgeTzj45lzZrK9HbUiZ2GdBFPRbJVSIgyHRppjRb8+HV5t&#10;KHGemYYpMKKiF+Ho7e7li+3QlyKHDlQjLEEQ48qhr2jnfV8mieOd0MytoBcGnS1YzTya9pg0lg2I&#10;rlWSp+nrZADb9Ba4cA5P7ycn3UX8thXcf25bJzxRFcXcfFxtXOuwJrstK4+W9Z3kcxrsH7LQTBp8&#10;9Ap1zzwjJyv/gNKSW3DQ+hUHnUDbSi5iDVhNlv5WzWPHehFrQXJcf6XJ/T9Y/un8xRLZoHaUGKZR&#10;oicxevIWRpIHdobelRj02GOYH/E4RIZKXf8A/JsjBvYdM0dxZy0MnWANZpeFm8ni6oTjAkg9fIQG&#10;n2EnDxFobK0OgEgGQXRU6XJVJqTC8TAvis06Kyjh6MuyTZalUbuElc/Xe+v8ewGahE1FLUof4dn5&#10;wfmQDiufQ2L6oGRzkEpFwx7rvbLkzLBNDvGLFWCVyzBlyFDRmyIvJgaWPreESOP3NwgtPfa7krqi&#10;m2sQKwNv70wTu9EzqaY9pqzMTGTgbmLRj/U4KzbrU0NzQWYtTO2N44ibDuwPSgZs7Yq67ydmBSXq&#10;g0F1brL1OsxCNNbFmxwNu/TUSw8zHKEq6imZtnsf5yfwZuAOVWxl5DfIPWUyp4wtG2mfxyvMxNKO&#10;Ub9+ArufAAAA//8DAFBLAwQUAAYACAAAACEA9s7Rk98AAAAKAQAADwAAAGRycy9kb3ducmV2Lnht&#10;bEyPwU7DMBBE70j8g7VIXBC1U6q0DXEqhASCGxQEVzfeJhH2OsRuGv6e7QluO5qn2ZlyM3knRhxi&#10;F0hDNlMgkOpgO2o0vL89XK9AxGTIGhcINfxghE11flaawoYjveK4TY3gEIqF0dCm1BdSxrpFb+Is&#10;9Ejs7cPgTWI5NNIO5sjh3sm5Urn0piP+0Joe71usv7YHr2G1eBo/4/PNy0ed7906XS3Hx+9B68uL&#10;6e4WRMIp/cFwqs/VoeJOu3AgG4XTMFfZmlE+Mt7EQK4WvGV3cpYKZFXK/xOqXwAAAP//AwBQSwEC&#10;LQAUAAYACAAAACEAtoM4kv4AAADhAQAAEwAAAAAAAAAAAAAAAAAAAAAAW0NvbnRlbnRfVHlwZXNd&#10;LnhtbFBLAQItABQABgAIAAAAIQA4/SH/1gAAAJQBAAALAAAAAAAAAAAAAAAAAC8BAABfcmVscy8u&#10;cmVsc1BLAQItABQABgAIAAAAIQC3T6f0JwIAAEwEAAAOAAAAAAAAAAAAAAAAAC4CAABkcnMvZTJv&#10;RG9jLnhtbFBLAQItABQABgAIAAAAIQD2ztGT3wAAAAoBAAAPAAAAAAAAAAAAAAAAAIEEAABkcnMv&#10;ZG93bnJldi54bWxQSwUGAAAAAAQABADzAAAAjQUAAAAA&#10;">
                <v:textbox>
                  <w:txbxContent>
                    <w:p w:rsidR="00D425AF" w:rsidRPr="00D425AF" w:rsidRDefault="00D425AF" w:rsidP="00D425AF">
                      <w:pPr>
                        <w:spacing w:line="360" w:lineRule="auto"/>
                        <w:rPr>
                          <w:i/>
                          <w:sz w:val="20"/>
                          <w:szCs w:val="20"/>
                        </w:rPr>
                      </w:pPr>
                      <w:r>
                        <w:rPr>
                          <w:i/>
                          <w:sz w:val="20"/>
                          <w:szCs w:val="20"/>
                        </w:rPr>
                        <w:t>Editor’s note: d</w:t>
                      </w:r>
                      <w:r w:rsidRPr="00D425AF">
                        <w:rPr>
                          <w:i/>
                          <w:sz w:val="20"/>
                          <w:szCs w:val="20"/>
                        </w:rPr>
                        <w:t>o not copy and paste your images into MS Word, this reduces their quality.</w:t>
                      </w:r>
                      <w:r>
                        <w:rPr>
                          <w:i/>
                          <w:sz w:val="20"/>
                          <w:szCs w:val="20"/>
                        </w:rPr>
                        <w:t xml:space="preserve"> Instead upload them to the journal website as separate files</w:t>
                      </w:r>
                      <w:r w:rsidR="004C1E46">
                        <w:rPr>
                          <w:i/>
                          <w:sz w:val="20"/>
                          <w:szCs w:val="20"/>
                        </w:rPr>
                        <w:t xml:space="preserve"> in the format used to originally create them.</w:t>
                      </w:r>
                    </w:p>
                    <w:p w:rsidR="00D425AF" w:rsidRDefault="00D425AF"/>
                  </w:txbxContent>
                </v:textbox>
              </v:shape>
            </w:pict>
          </mc:Fallback>
        </mc:AlternateContent>
      </w:r>
    </w:p>
    <w:p w:rsidR="00D425AF" w:rsidRDefault="00D425AF" w:rsidP="00A442E4">
      <w:pPr>
        <w:spacing w:line="360" w:lineRule="auto"/>
        <w:rPr>
          <w:b/>
          <w:sz w:val="20"/>
          <w:szCs w:val="20"/>
        </w:rPr>
      </w:pPr>
    </w:p>
    <w:p w:rsidR="00D425AF" w:rsidRDefault="00D425AF" w:rsidP="00A442E4">
      <w:pPr>
        <w:spacing w:line="360" w:lineRule="auto"/>
        <w:rPr>
          <w:b/>
          <w:sz w:val="20"/>
          <w:szCs w:val="20"/>
        </w:rPr>
      </w:pPr>
    </w:p>
    <w:p w:rsidR="00D425AF" w:rsidRDefault="00D425AF" w:rsidP="00A442E4">
      <w:pPr>
        <w:spacing w:line="360" w:lineRule="auto"/>
        <w:rPr>
          <w:b/>
          <w:sz w:val="20"/>
          <w:szCs w:val="20"/>
        </w:rPr>
      </w:pPr>
    </w:p>
    <w:p w:rsidR="00D425AF" w:rsidRDefault="00D425AF" w:rsidP="00A442E4">
      <w:pPr>
        <w:spacing w:line="360" w:lineRule="auto"/>
        <w:outlineLvl w:val="0"/>
        <w:rPr>
          <w:sz w:val="20"/>
          <w:szCs w:val="20"/>
        </w:rPr>
      </w:pPr>
    </w:p>
    <w:p w:rsidR="00D425AF" w:rsidRDefault="00D425AF" w:rsidP="00A442E4">
      <w:pPr>
        <w:spacing w:line="360" w:lineRule="auto"/>
        <w:outlineLvl w:val="0"/>
        <w:rPr>
          <w:sz w:val="20"/>
          <w:szCs w:val="20"/>
        </w:rPr>
      </w:pPr>
    </w:p>
    <w:p w:rsidR="004C1E46" w:rsidRDefault="004C1E46" w:rsidP="00A442E4">
      <w:pPr>
        <w:spacing w:line="360" w:lineRule="auto"/>
        <w:outlineLvl w:val="0"/>
        <w:rPr>
          <w:sz w:val="20"/>
          <w:szCs w:val="20"/>
        </w:rPr>
      </w:pPr>
      <w:bookmarkStart w:id="3" w:name="_GoBack"/>
      <w:bookmarkEnd w:id="3"/>
    </w:p>
    <w:p w:rsidR="004C1E46" w:rsidRDefault="004C1E46" w:rsidP="00A442E4">
      <w:pPr>
        <w:spacing w:line="360" w:lineRule="auto"/>
        <w:outlineLvl w:val="0"/>
        <w:rPr>
          <w:sz w:val="20"/>
          <w:szCs w:val="20"/>
        </w:rPr>
      </w:pPr>
    </w:p>
    <w:p w:rsidR="0003108B" w:rsidRPr="00A442E4" w:rsidRDefault="0003108B" w:rsidP="00A442E4">
      <w:pPr>
        <w:spacing w:line="360" w:lineRule="auto"/>
        <w:outlineLvl w:val="0"/>
        <w:rPr>
          <w:sz w:val="20"/>
          <w:szCs w:val="20"/>
        </w:rPr>
      </w:pPr>
      <w:proofErr w:type="gramStart"/>
      <w:r w:rsidRPr="00A442E4">
        <w:rPr>
          <w:sz w:val="20"/>
          <w:szCs w:val="20"/>
        </w:rPr>
        <w:t>Figure 1.</w:t>
      </w:r>
      <w:proofErr w:type="gramEnd"/>
      <w:r w:rsidRPr="00A442E4">
        <w:rPr>
          <w:sz w:val="20"/>
          <w:szCs w:val="20"/>
        </w:rPr>
        <w:t xml:space="preserve"> Schematic diagram of the Bailey-BRE method</w:t>
      </w:r>
    </w:p>
    <w:p w:rsidR="0003108B" w:rsidRPr="00A442E4" w:rsidRDefault="0003108B" w:rsidP="00A442E4">
      <w:pPr>
        <w:spacing w:line="360" w:lineRule="auto"/>
        <w:outlineLvl w:val="0"/>
        <w:rPr>
          <w:sz w:val="20"/>
          <w:szCs w:val="20"/>
        </w:rPr>
      </w:pPr>
      <w:proofErr w:type="gramStart"/>
      <w:r w:rsidRPr="00A442E4">
        <w:rPr>
          <w:sz w:val="20"/>
          <w:szCs w:val="20"/>
        </w:rPr>
        <w:t>Figure 2.</w:t>
      </w:r>
      <w:proofErr w:type="gramEnd"/>
      <w:r w:rsidRPr="00A442E4">
        <w:rPr>
          <w:sz w:val="20"/>
          <w:szCs w:val="20"/>
        </w:rPr>
        <w:t xml:space="preserve"> Slab deflection limits</w:t>
      </w:r>
    </w:p>
    <w:p w:rsidR="0003108B" w:rsidRPr="00A442E4" w:rsidRDefault="0003108B" w:rsidP="00A442E4">
      <w:pPr>
        <w:spacing w:line="360" w:lineRule="auto"/>
        <w:outlineLvl w:val="0"/>
        <w:rPr>
          <w:sz w:val="20"/>
          <w:szCs w:val="20"/>
        </w:rPr>
      </w:pPr>
      <w:proofErr w:type="gramStart"/>
      <w:r w:rsidRPr="00A442E4">
        <w:rPr>
          <w:sz w:val="20"/>
          <w:szCs w:val="20"/>
        </w:rPr>
        <w:t>Figure 3.</w:t>
      </w:r>
      <w:proofErr w:type="gramEnd"/>
      <w:r w:rsidRPr="00A442E4">
        <w:rPr>
          <w:sz w:val="20"/>
          <w:szCs w:val="20"/>
        </w:rPr>
        <w:t xml:space="preserve"> Slab panel sizes</w:t>
      </w:r>
    </w:p>
    <w:p w:rsidR="0003108B" w:rsidRPr="00A442E4" w:rsidRDefault="0003108B" w:rsidP="00A442E4">
      <w:pPr>
        <w:spacing w:line="360" w:lineRule="auto"/>
        <w:outlineLvl w:val="0"/>
        <w:rPr>
          <w:sz w:val="20"/>
          <w:szCs w:val="20"/>
        </w:rPr>
      </w:pPr>
      <w:proofErr w:type="gramStart"/>
      <w:r w:rsidRPr="00A442E4">
        <w:rPr>
          <w:sz w:val="20"/>
          <w:szCs w:val="20"/>
        </w:rPr>
        <w:t>Figure 4.</w:t>
      </w:r>
      <w:proofErr w:type="gramEnd"/>
      <w:r w:rsidRPr="00A442E4">
        <w:rPr>
          <w:sz w:val="20"/>
          <w:szCs w:val="20"/>
        </w:rPr>
        <w:t xml:space="preserve"> Concrete slab cross-section, showing the trapezoidal decking profile</w:t>
      </w:r>
    </w:p>
    <w:p w:rsidR="0003108B" w:rsidRPr="00A442E4" w:rsidRDefault="0003108B" w:rsidP="00A442E4">
      <w:pPr>
        <w:spacing w:line="360" w:lineRule="auto"/>
        <w:outlineLvl w:val="0"/>
        <w:rPr>
          <w:sz w:val="20"/>
          <w:szCs w:val="20"/>
        </w:rPr>
      </w:pPr>
      <w:proofErr w:type="gramStart"/>
      <w:r w:rsidRPr="00A442E4">
        <w:rPr>
          <w:sz w:val="20"/>
          <w:szCs w:val="20"/>
        </w:rPr>
        <w:t>Figure 5.</w:t>
      </w:r>
      <w:proofErr w:type="gramEnd"/>
      <w:r w:rsidRPr="00A442E4">
        <w:rPr>
          <w:sz w:val="20"/>
          <w:szCs w:val="20"/>
        </w:rPr>
        <w:t xml:space="preserve"> Slab panel folding mechanism</w:t>
      </w:r>
    </w:p>
    <w:p w:rsidR="0003108B" w:rsidRPr="00A442E4" w:rsidRDefault="0003108B" w:rsidP="00A442E4">
      <w:pPr>
        <w:spacing w:line="360" w:lineRule="auto"/>
        <w:outlineLvl w:val="0"/>
        <w:rPr>
          <w:sz w:val="20"/>
          <w:szCs w:val="20"/>
        </w:rPr>
      </w:pPr>
      <w:proofErr w:type="gramStart"/>
      <w:r w:rsidRPr="00A442E4">
        <w:rPr>
          <w:sz w:val="20"/>
          <w:szCs w:val="20"/>
        </w:rPr>
        <w:t>Figure 6.</w:t>
      </w:r>
      <w:proofErr w:type="gramEnd"/>
      <w:r w:rsidRPr="00A442E4">
        <w:rPr>
          <w:sz w:val="20"/>
          <w:szCs w:val="20"/>
        </w:rPr>
        <w:t xml:space="preserve"> Beam and slab temperature evolution for R60 design</w:t>
      </w:r>
    </w:p>
    <w:p w:rsidR="0003108B" w:rsidRPr="00A442E4" w:rsidRDefault="0003108B" w:rsidP="00A442E4">
      <w:pPr>
        <w:spacing w:line="360" w:lineRule="auto"/>
        <w:rPr>
          <w:sz w:val="20"/>
          <w:szCs w:val="20"/>
        </w:rPr>
      </w:pPr>
      <w:proofErr w:type="gramStart"/>
      <w:r w:rsidRPr="00A442E4">
        <w:rPr>
          <w:sz w:val="20"/>
          <w:szCs w:val="20"/>
        </w:rPr>
        <w:t>Figure 7.</w:t>
      </w:r>
      <w:proofErr w:type="gramEnd"/>
      <w:r w:rsidRPr="00A442E4">
        <w:rPr>
          <w:sz w:val="20"/>
          <w:szCs w:val="20"/>
        </w:rPr>
        <w:t xml:space="preserve"> Bailey-BRE method - 9 m x 6 m slab panel, required vertical displacements (R60) (a), Vulcan 9 m x 6 m slab panel, central vertical displacements (R60) (b), Vulcan 9 m x 6 m slab panel, displacements of slab centre relative to protected secondary beams (R60) (c)</w:t>
      </w:r>
    </w:p>
    <w:sectPr w:rsidR="0003108B" w:rsidRPr="00A442E4" w:rsidSect="0006269A">
      <w:footerReference w:type="default" r:id="rId19"/>
      <w:footerReference w:type="first" r:id="rId20"/>
      <w:footnotePr>
        <w:numFmt w:val="chicago"/>
      </w:footnotePr>
      <w:pgSz w:w="11906" w:h="16838" w:code="9"/>
      <w:pgMar w:top="1560" w:right="1701" w:bottom="1560" w:left="1701"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9A7" w:rsidRDefault="009B09A7">
      <w:r>
        <w:separator/>
      </w:r>
    </w:p>
  </w:endnote>
  <w:endnote w:type="continuationSeparator" w:id="0">
    <w:p w:rsidR="009B09A7" w:rsidRDefault="009B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8B" w:rsidRDefault="009B6F33">
    <w:pPr>
      <w:pStyle w:val="Footer"/>
      <w:jc w:val="right"/>
    </w:pPr>
    <w:r>
      <w:fldChar w:fldCharType="begin"/>
    </w:r>
    <w:r>
      <w:instrText xml:space="preserve"> PAGE   \* MERGEFORMAT </w:instrText>
    </w:r>
    <w:r>
      <w:fldChar w:fldCharType="separate"/>
    </w:r>
    <w:r w:rsidR="004C1E46">
      <w:rPr>
        <w:noProof/>
      </w:rPr>
      <w:t>2</w:t>
    </w:r>
    <w:r>
      <w:rPr>
        <w:noProof/>
      </w:rPr>
      <w:fldChar w:fldCharType="end"/>
    </w:r>
  </w:p>
  <w:p w:rsidR="0003108B" w:rsidRPr="00652B19" w:rsidRDefault="0003108B" w:rsidP="00652B19">
    <w:pPr>
      <w:pStyle w:val="Footer"/>
      <w:jc w:val="right"/>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69A" w:rsidRPr="0006269A" w:rsidRDefault="0006269A" w:rsidP="0006269A">
    <w:pPr>
      <w:pStyle w:val="Authoraffiliations"/>
    </w:pPr>
    <w:r w:rsidRPr="0006269A">
      <w:t>This is an example created from parts of other articles, it is not designed to be read for sense.</w:t>
    </w:r>
  </w:p>
  <w:p w:rsidR="0006269A" w:rsidRDefault="0006269A">
    <w:pPr>
      <w:pStyle w:val="Footer"/>
    </w:pPr>
  </w:p>
  <w:p w:rsidR="0006269A" w:rsidRDefault="00062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9A7" w:rsidRDefault="009B09A7">
      <w:r>
        <w:separator/>
      </w:r>
    </w:p>
  </w:footnote>
  <w:footnote w:type="continuationSeparator" w:id="0">
    <w:p w:rsidR="009B09A7" w:rsidRDefault="009B0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9DA"/>
    <w:multiLevelType w:val="hybridMultilevel"/>
    <w:tmpl w:val="70B666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1AD00F7"/>
    <w:multiLevelType w:val="hybridMultilevel"/>
    <w:tmpl w:val="AA8AF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1FA0111"/>
    <w:multiLevelType w:val="hybridMultilevel"/>
    <w:tmpl w:val="3C04C33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069535FC"/>
    <w:multiLevelType w:val="hybridMultilevel"/>
    <w:tmpl w:val="8DD808E6"/>
    <w:lvl w:ilvl="0" w:tplc="C9987D32">
      <w:start w:val="1"/>
      <w:numFmt w:val="bullet"/>
      <w:lvlText w:val="●"/>
      <w:lvlJc w:val="left"/>
      <w:pPr>
        <w:tabs>
          <w:tab w:val="num" w:pos="360"/>
        </w:tabs>
        <w:ind w:left="360" w:hanging="360"/>
      </w:pPr>
      <w:rPr>
        <w:rFonts w:ascii="Arial" w:hAnsi="Aria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4B2746"/>
    <w:multiLevelType w:val="hybridMultilevel"/>
    <w:tmpl w:val="A97C7E9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E225D77"/>
    <w:multiLevelType w:val="hybridMultilevel"/>
    <w:tmpl w:val="ECBEF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DF73BEE"/>
    <w:multiLevelType w:val="hybridMultilevel"/>
    <w:tmpl w:val="B406C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2154A94"/>
    <w:multiLevelType w:val="hybridMultilevel"/>
    <w:tmpl w:val="8B5E2B1A"/>
    <w:lvl w:ilvl="0" w:tplc="C9987D32">
      <w:start w:val="1"/>
      <w:numFmt w:val="bullet"/>
      <w:lvlText w:val="●"/>
      <w:lvlJc w:val="left"/>
      <w:pPr>
        <w:tabs>
          <w:tab w:val="num" w:pos="360"/>
        </w:tabs>
        <w:ind w:left="360" w:hanging="360"/>
      </w:pPr>
      <w:rPr>
        <w:rFonts w:ascii="Arial" w:hAnsi="Aria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32E423D"/>
    <w:multiLevelType w:val="hybridMultilevel"/>
    <w:tmpl w:val="A586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030B10"/>
    <w:multiLevelType w:val="hybridMultilevel"/>
    <w:tmpl w:val="21EE28CC"/>
    <w:lvl w:ilvl="0" w:tplc="FFFFFFFF">
      <w:start w:val="1"/>
      <w:numFmt w:val="bullet"/>
      <w:lvlText w:val=""/>
      <w:lvlJc w:val="left"/>
      <w:pPr>
        <w:tabs>
          <w:tab w:val="num" w:pos="1179"/>
        </w:tabs>
        <w:ind w:left="1179" w:hanging="360"/>
      </w:pPr>
      <w:rPr>
        <w:rFonts w:ascii="Symbol" w:hAnsi="Symbol" w:hint="default"/>
      </w:rPr>
    </w:lvl>
    <w:lvl w:ilvl="1" w:tplc="FFFFFFFF" w:tentative="1">
      <w:start w:val="1"/>
      <w:numFmt w:val="bullet"/>
      <w:lvlText w:val="o"/>
      <w:lvlJc w:val="left"/>
      <w:pPr>
        <w:tabs>
          <w:tab w:val="num" w:pos="1899"/>
        </w:tabs>
        <w:ind w:left="1899" w:hanging="360"/>
      </w:pPr>
      <w:rPr>
        <w:rFonts w:ascii="Courier New" w:hAnsi="Courier New" w:hint="default"/>
      </w:rPr>
    </w:lvl>
    <w:lvl w:ilvl="2" w:tplc="FFFFFFFF" w:tentative="1">
      <w:start w:val="1"/>
      <w:numFmt w:val="bullet"/>
      <w:lvlText w:val=""/>
      <w:lvlJc w:val="left"/>
      <w:pPr>
        <w:tabs>
          <w:tab w:val="num" w:pos="2619"/>
        </w:tabs>
        <w:ind w:left="2619" w:hanging="360"/>
      </w:pPr>
      <w:rPr>
        <w:rFonts w:ascii="Wingdings" w:hAnsi="Wingdings" w:hint="default"/>
      </w:rPr>
    </w:lvl>
    <w:lvl w:ilvl="3" w:tplc="FFFFFFFF" w:tentative="1">
      <w:start w:val="1"/>
      <w:numFmt w:val="bullet"/>
      <w:lvlText w:val=""/>
      <w:lvlJc w:val="left"/>
      <w:pPr>
        <w:tabs>
          <w:tab w:val="num" w:pos="3339"/>
        </w:tabs>
        <w:ind w:left="3339" w:hanging="360"/>
      </w:pPr>
      <w:rPr>
        <w:rFonts w:ascii="Symbol" w:hAnsi="Symbol" w:hint="default"/>
      </w:rPr>
    </w:lvl>
    <w:lvl w:ilvl="4" w:tplc="FFFFFFFF" w:tentative="1">
      <w:start w:val="1"/>
      <w:numFmt w:val="bullet"/>
      <w:lvlText w:val="o"/>
      <w:lvlJc w:val="left"/>
      <w:pPr>
        <w:tabs>
          <w:tab w:val="num" w:pos="4059"/>
        </w:tabs>
        <w:ind w:left="4059" w:hanging="360"/>
      </w:pPr>
      <w:rPr>
        <w:rFonts w:ascii="Courier New" w:hAnsi="Courier New" w:hint="default"/>
      </w:rPr>
    </w:lvl>
    <w:lvl w:ilvl="5" w:tplc="FFFFFFFF" w:tentative="1">
      <w:start w:val="1"/>
      <w:numFmt w:val="bullet"/>
      <w:lvlText w:val=""/>
      <w:lvlJc w:val="left"/>
      <w:pPr>
        <w:tabs>
          <w:tab w:val="num" w:pos="4779"/>
        </w:tabs>
        <w:ind w:left="4779" w:hanging="360"/>
      </w:pPr>
      <w:rPr>
        <w:rFonts w:ascii="Wingdings" w:hAnsi="Wingdings" w:hint="default"/>
      </w:rPr>
    </w:lvl>
    <w:lvl w:ilvl="6" w:tplc="FFFFFFFF" w:tentative="1">
      <w:start w:val="1"/>
      <w:numFmt w:val="bullet"/>
      <w:lvlText w:val=""/>
      <w:lvlJc w:val="left"/>
      <w:pPr>
        <w:tabs>
          <w:tab w:val="num" w:pos="5499"/>
        </w:tabs>
        <w:ind w:left="5499" w:hanging="360"/>
      </w:pPr>
      <w:rPr>
        <w:rFonts w:ascii="Symbol" w:hAnsi="Symbol" w:hint="default"/>
      </w:rPr>
    </w:lvl>
    <w:lvl w:ilvl="7" w:tplc="FFFFFFFF" w:tentative="1">
      <w:start w:val="1"/>
      <w:numFmt w:val="bullet"/>
      <w:lvlText w:val="o"/>
      <w:lvlJc w:val="left"/>
      <w:pPr>
        <w:tabs>
          <w:tab w:val="num" w:pos="6219"/>
        </w:tabs>
        <w:ind w:left="6219" w:hanging="360"/>
      </w:pPr>
      <w:rPr>
        <w:rFonts w:ascii="Courier New" w:hAnsi="Courier New" w:hint="default"/>
      </w:rPr>
    </w:lvl>
    <w:lvl w:ilvl="8" w:tplc="FFFFFFFF" w:tentative="1">
      <w:start w:val="1"/>
      <w:numFmt w:val="bullet"/>
      <w:lvlText w:val=""/>
      <w:lvlJc w:val="left"/>
      <w:pPr>
        <w:tabs>
          <w:tab w:val="num" w:pos="6939"/>
        </w:tabs>
        <w:ind w:left="6939" w:hanging="360"/>
      </w:pPr>
      <w:rPr>
        <w:rFonts w:ascii="Wingdings" w:hAnsi="Wingdings" w:hint="default"/>
      </w:rPr>
    </w:lvl>
  </w:abstractNum>
  <w:abstractNum w:abstractNumId="10">
    <w:nsid w:val="3CDC76BE"/>
    <w:multiLevelType w:val="multilevel"/>
    <w:tmpl w:val="A786349C"/>
    <w:lvl w:ilvl="0">
      <w:start w:val="7"/>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438E6522"/>
    <w:multiLevelType w:val="multilevel"/>
    <w:tmpl w:val="3C807C10"/>
    <w:lvl w:ilvl="0">
      <w:start w:val="1"/>
      <w:numFmt w:val="decimal"/>
      <w:pStyle w:val="Heading1"/>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567"/>
        </w:tabs>
        <w:ind w:left="567" w:hanging="567"/>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2">
    <w:nsid w:val="4D2016D7"/>
    <w:multiLevelType w:val="hybridMultilevel"/>
    <w:tmpl w:val="EF4CD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D8B07DE"/>
    <w:multiLevelType w:val="hybridMultilevel"/>
    <w:tmpl w:val="FD40248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4FE543C0"/>
    <w:multiLevelType w:val="hybridMultilevel"/>
    <w:tmpl w:val="DE3074F0"/>
    <w:lvl w:ilvl="0" w:tplc="70A25D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5C0BF9"/>
    <w:multiLevelType w:val="hybridMultilevel"/>
    <w:tmpl w:val="038449A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56A71DF3"/>
    <w:multiLevelType w:val="hybridMultilevel"/>
    <w:tmpl w:val="4AB22456"/>
    <w:lvl w:ilvl="0" w:tplc="C9987D32">
      <w:start w:val="1"/>
      <w:numFmt w:val="bullet"/>
      <w:lvlText w:val="●"/>
      <w:lvlJc w:val="left"/>
      <w:pPr>
        <w:tabs>
          <w:tab w:val="num" w:pos="360"/>
        </w:tabs>
        <w:ind w:left="360" w:hanging="360"/>
      </w:pPr>
      <w:rPr>
        <w:rFonts w:ascii="Arial" w:hAnsi="Aria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EB2162D"/>
    <w:multiLevelType w:val="multilevel"/>
    <w:tmpl w:val="CAF6C4AE"/>
    <w:lvl w:ilvl="0">
      <w:start w:val="1"/>
      <w:numFmt w:val="decimal"/>
      <w:pStyle w:val="Style2"/>
      <w:lvlText w:val="%1."/>
      <w:lvlJc w:val="left"/>
      <w:pPr>
        <w:tabs>
          <w:tab w:val="num" w:pos="720"/>
        </w:tabs>
        <w:ind w:left="360" w:hanging="36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8">
    <w:nsid w:val="64AC700E"/>
    <w:multiLevelType w:val="hybridMultilevel"/>
    <w:tmpl w:val="4EB62E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7B970BF"/>
    <w:multiLevelType w:val="hybridMultilevel"/>
    <w:tmpl w:val="4D2ADB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8EB3A84"/>
    <w:multiLevelType w:val="hybridMultilevel"/>
    <w:tmpl w:val="3FD09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9AD5C3B"/>
    <w:multiLevelType w:val="multilevel"/>
    <w:tmpl w:val="FD4E4854"/>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A3A45EF"/>
    <w:multiLevelType w:val="hybridMultilevel"/>
    <w:tmpl w:val="46FE037C"/>
    <w:lvl w:ilvl="0" w:tplc="F10CEEE0">
      <w:start w:val="1"/>
      <w:numFmt w:val="bullet"/>
      <w:lvlText w:val=""/>
      <w:lvlJc w:val="left"/>
      <w:pPr>
        <w:tabs>
          <w:tab w:val="num" w:pos="720"/>
        </w:tabs>
        <w:ind w:left="720" w:hanging="360"/>
      </w:pPr>
      <w:rPr>
        <w:rFonts w:ascii="Symbol" w:hAnsi="Symbol" w:hint="default"/>
      </w:rPr>
    </w:lvl>
    <w:lvl w:ilvl="1" w:tplc="99B6776A" w:tentative="1">
      <w:start w:val="1"/>
      <w:numFmt w:val="bullet"/>
      <w:lvlText w:val="o"/>
      <w:lvlJc w:val="left"/>
      <w:pPr>
        <w:tabs>
          <w:tab w:val="num" w:pos="1440"/>
        </w:tabs>
        <w:ind w:left="1440" w:hanging="360"/>
      </w:pPr>
      <w:rPr>
        <w:rFonts w:ascii="Courier New" w:hAnsi="Courier New" w:hint="default"/>
      </w:rPr>
    </w:lvl>
    <w:lvl w:ilvl="2" w:tplc="8A58B8EC" w:tentative="1">
      <w:start w:val="1"/>
      <w:numFmt w:val="bullet"/>
      <w:lvlText w:val=""/>
      <w:lvlJc w:val="left"/>
      <w:pPr>
        <w:tabs>
          <w:tab w:val="num" w:pos="2160"/>
        </w:tabs>
        <w:ind w:left="2160" w:hanging="360"/>
      </w:pPr>
      <w:rPr>
        <w:rFonts w:ascii="Wingdings" w:hAnsi="Wingdings" w:hint="default"/>
      </w:rPr>
    </w:lvl>
    <w:lvl w:ilvl="3" w:tplc="AA68F21C" w:tentative="1">
      <w:start w:val="1"/>
      <w:numFmt w:val="bullet"/>
      <w:lvlText w:val=""/>
      <w:lvlJc w:val="left"/>
      <w:pPr>
        <w:tabs>
          <w:tab w:val="num" w:pos="2880"/>
        </w:tabs>
        <w:ind w:left="2880" w:hanging="360"/>
      </w:pPr>
      <w:rPr>
        <w:rFonts w:ascii="Symbol" w:hAnsi="Symbol" w:hint="default"/>
      </w:rPr>
    </w:lvl>
    <w:lvl w:ilvl="4" w:tplc="B1244312" w:tentative="1">
      <w:start w:val="1"/>
      <w:numFmt w:val="bullet"/>
      <w:lvlText w:val="o"/>
      <w:lvlJc w:val="left"/>
      <w:pPr>
        <w:tabs>
          <w:tab w:val="num" w:pos="3600"/>
        </w:tabs>
        <w:ind w:left="3600" w:hanging="360"/>
      </w:pPr>
      <w:rPr>
        <w:rFonts w:ascii="Courier New" w:hAnsi="Courier New" w:hint="default"/>
      </w:rPr>
    </w:lvl>
    <w:lvl w:ilvl="5" w:tplc="8724F4CC" w:tentative="1">
      <w:start w:val="1"/>
      <w:numFmt w:val="bullet"/>
      <w:lvlText w:val=""/>
      <w:lvlJc w:val="left"/>
      <w:pPr>
        <w:tabs>
          <w:tab w:val="num" w:pos="4320"/>
        </w:tabs>
        <w:ind w:left="4320" w:hanging="360"/>
      </w:pPr>
      <w:rPr>
        <w:rFonts w:ascii="Wingdings" w:hAnsi="Wingdings" w:hint="default"/>
      </w:rPr>
    </w:lvl>
    <w:lvl w:ilvl="6" w:tplc="D862CFE4" w:tentative="1">
      <w:start w:val="1"/>
      <w:numFmt w:val="bullet"/>
      <w:lvlText w:val=""/>
      <w:lvlJc w:val="left"/>
      <w:pPr>
        <w:tabs>
          <w:tab w:val="num" w:pos="5040"/>
        </w:tabs>
        <w:ind w:left="5040" w:hanging="360"/>
      </w:pPr>
      <w:rPr>
        <w:rFonts w:ascii="Symbol" w:hAnsi="Symbol" w:hint="default"/>
      </w:rPr>
    </w:lvl>
    <w:lvl w:ilvl="7" w:tplc="09EAB72E" w:tentative="1">
      <w:start w:val="1"/>
      <w:numFmt w:val="bullet"/>
      <w:lvlText w:val="o"/>
      <w:lvlJc w:val="left"/>
      <w:pPr>
        <w:tabs>
          <w:tab w:val="num" w:pos="5760"/>
        </w:tabs>
        <w:ind w:left="5760" w:hanging="360"/>
      </w:pPr>
      <w:rPr>
        <w:rFonts w:ascii="Courier New" w:hAnsi="Courier New" w:hint="default"/>
      </w:rPr>
    </w:lvl>
    <w:lvl w:ilvl="8" w:tplc="DBD2B084" w:tentative="1">
      <w:start w:val="1"/>
      <w:numFmt w:val="bullet"/>
      <w:lvlText w:val=""/>
      <w:lvlJc w:val="left"/>
      <w:pPr>
        <w:tabs>
          <w:tab w:val="num" w:pos="6480"/>
        </w:tabs>
        <w:ind w:left="6480" w:hanging="360"/>
      </w:pPr>
      <w:rPr>
        <w:rFonts w:ascii="Wingdings" w:hAnsi="Wingdings" w:hint="default"/>
      </w:rPr>
    </w:lvl>
  </w:abstractNum>
  <w:abstractNum w:abstractNumId="23">
    <w:nsid w:val="7CA23739"/>
    <w:multiLevelType w:val="hybridMultilevel"/>
    <w:tmpl w:val="AB2657D2"/>
    <w:lvl w:ilvl="0" w:tplc="08090001">
      <w:start w:val="1"/>
      <w:numFmt w:val="decimal"/>
      <w:lvlText w:val="[%1]"/>
      <w:lvlJc w:val="left"/>
      <w:pPr>
        <w:tabs>
          <w:tab w:val="num" w:pos="796"/>
        </w:tabs>
        <w:ind w:left="796" w:hanging="436"/>
      </w:pPr>
      <w:rPr>
        <w:rFonts w:cs="Times New Roman" w:hint="default"/>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4">
    <w:nsid w:val="7E3A4637"/>
    <w:multiLevelType w:val="hybridMultilevel"/>
    <w:tmpl w:val="67E2C792"/>
    <w:lvl w:ilvl="0" w:tplc="A3CAFE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937560"/>
    <w:multiLevelType w:val="hybridMultilevel"/>
    <w:tmpl w:val="7690FFA4"/>
    <w:lvl w:ilvl="0" w:tplc="F17EF500">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11"/>
  </w:num>
  <w:num w:numId="4">
    <w:abstractNumId w:val="14"/>
  </w:num>
  <w:num w:numId="5">
    <w:abstractNumId w:val="15"/>
  </w:num>
  <w:num w:numId="6">
    <w:abstractNumId w:val="2"/>
  </w:num>
  <w:num w:numId="7">
    <w:abstractNumId w:val="4"/>
  </w:num>
  <w:num w:numId="8">
    <w:abstractNumId w:val="19"/>
  </w:num>
  <w:num w:numId="9">
    <w:abstractNumId w:val="12"/>
  </w:num>
  <w:num w:numId="10">
    <w:abstractNumId w:val="10"/>
  </w:num>
  <w:num w:numId="11">
    <w:abstractNumId w:val="0"/>
  </w:num>
  <w:num w:numId="12">
    <w:abstractNumId w:val="25"/>
  </w:num>
  <w:num w:numId="13">
    <w:abstractNumId w:val="5"/>
  </w:num>
  <w:num w:numId="14">
    <w:abstractNumId w:val="6"/>
  </w:num>
  <w:num w:numId="15">
    <w:abstractNumId w:val="18"/>
  </w:num>
  <w:num w:numId="16">
    <w:abstractNumId w:val="21"/>
  </w:num>
  <w:num w:numId="17">
    <w:abstractNumId w:val="13"/>
  </w:num>
  <w:num w:numId="18">
    <w:abstractNumId w:val="22"/>
  </w:num>
  <w:num w:numId="19">
    <w:abstractNumId w:val="23"/>
  </w:num>
  <w:num w:numId="20">
    <w:abstractNumId w:val="20"/>
  </w:num>
  <w:num w:numId="21">
    <w:abstractNumId w:val="8"/>
  </w:num>
  <w:num w:numId="22">
    <w:abstractNumId w:val="1"/>
  </w:num>
  <w:num w:numId="23">
    <w:abstractNumId w:val="11"/>
  </w:num>
  <w:num w:numId="24">
    <w:abstractNumId w:val="11"/>
  </w:num>
  <w:num w:numId="25">
    <w:abstractNumId w:val="11"/>
  </w:num>
  <w:num w:numId="26">
    <w:abstractNumId w:val="24"/>
  </w:num>
  <w:num w:numId="27">
    <w:abstractNumId w:val="3"/>
  </w:num>
  <w:num w:numId="28">
    <w:abstractNumId w:val="1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2"/>
  <w:drawingGridVerticalSpacing w:val="14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829"/>
    <w:rsid w:val="000011DC"/>
    <w:rsid w:val="00003487"/>
    <w:rsid w:val="00005F28"/>
    <w:rsid w:val="00012A45"/>
    <w:rsid w:val="00017B67"/>
    <w:rsid w:val="00021CF7"/>
    <w:rsid w:val="0003108B"/>
    <w:rsid w:val="000354F3"/>
    <w:rsid w:val="00037662"/>
    <w:rsid w:val="00041DFB"/>
    <w:rsid w:val="000432C7"/>
    <w:rsid w:val="000439AF"/>
    <w:rsid w:val="00046AC9"/>
    <w:rsid w:val="00053FF8"/>
    <w:rsid w:val="0006269A"/>
    <w:rsid w:val="00063FF4"/>
    <w:rsid w:val="00066267"/>
    <w:rsid w:val="00067625"/>
    <w:rsid w:val="0007488E"/>
    <w:rsid w:val="00080AFC"/>
    <w:rsid w:val="000821C4"/>
    <w:rsid w:val="0009328C"/>
    <w:rsid w:val="00093C66"/>
    <w:rsid w:val="000973C6"/>
    <w:rsid w:val="000A217D"/>
    <w:rsid w:val="000A6F7B"/>
    <w:rsid w:val="000B5A54"/>
    <w:rsid w:val="000B64C8"/>
    <w:rsid w:val="000B6A58"/>
    <w:rsid w:val="000C3EA4"/>
    <w:rsid w:val="000C5300"/>
    <w:rsid w:val="000C6314"/>
    <w:rsid w:val="000D5CC3"/>
    <w:rsid w:val="000E022E"/>
    <w:rsid w:val="000E3D9D"/>
    <w:rsid w:val="000E7D73"/>
    <w:rsid w:val="000E7DAF"/>
    <w:rsid w:val="000F3C5A"/>
    <w:rsid w:val="000F5B62"/>
    <w:rsid w:val="00100BF2"/>
    <w:rsid w:val="00105BBC"/>
    <w:rsid w:val="001102FA"/>
    <w:rsid w:val="00113B66"/>
    <w:rsid w:val="00114355"/>
    <w:rsid w:val="00121915"/>
    <w:rsid w:val="001233E8"/>
    <w:rsid w:val="001255DF"/>
    <w:rsid w:val="001268D1"/>
    <w:rsid w:val="00130B0A"/>
    <w:rsid w:val="00130F07"/>
    <w:rsid w:val="00136CA1"/>
    <w:rsid w:val="00145406"/>
    <w:rsid w:val="0015197D"/>
    <w:rsid w:val="001572DE"/>
    <w:rsid w:val="00157F8E"/>
    <w:rsid w:val="001621A5"/>
    <w:rsid w:val="001632CD"/>
    <w:rsid w:val="00166CF1"/>
    <w:rsid w:val="001704F8"/>
    <w:rsid w:val="00170FB1"/>
    <w:rsid w:val="00171E2C"/>
    <w:rsid w:val="00171FB8"/>
    <w:rsid w:val="00177EB3"/>
    <w:rsid w:val="00184C1B"/>
    <w:rsid w:val="00190CB2"/>
    <w:rsid w:val="00191695"/>
    <w:rsid w:val="001973BD"/>
    <w:rsid w:val="001A2E59"/>
    <w:rsid w:val="001A7F4F"/>
    <w:rsid w:val="001B40B0"/>
    <w:rsid w:val="001B5F22"/>
    <w:rsid w:val="001C00CB"/>
    <w:rsid w:val="001C1E82"/>
    <w:rsid w:val="001C229D"/>
    <w:rsid w:val="001C5A9D"/>
    <w:rsid w:val="001C70DD"/>
    <w:rsid w:val="001D38F3"/>
    <w:rsid w:val="001D3C65"/>
    <w:rsid w:val="001D5A1F"/>
    <w:rsid w:val="001D7D3D"/>
    <w:rsid w:val="001E2AD9"/>
    <w:rsid w:val="001E3C72"/>
    <w:rsid w:val="001F50EF"/>
    <w:rsid w:val="001F5EAB"/>
    <w:rsid w:val="00200303"/>
    <w:rsid w:val="00202A24"/>
    <w:rsid w:val="00203A55"/>
    <w:rsid w:val="00203F5D"/>
    <w:rsid w:val="002056ED"/>
    <w:rsid w:val="0020674A"/>
    <w:rsid w:val="00207080"/>
    <w:rsid w:val="00212950"/>
    <w:rsid w:val="00215362"/>
    <w:rsid w:val="002209E9"/>
    <w:rsid w:val="0022497A"/>
    <w:rsid w:val="002264CD"/>
    <w:rsid w:val="00233872"/>
    <w:rsid w:val="00243AB8"/>
    <w:rsid w:val="002443BC"/>
    <w:rsid w:val="00247123"/>
    <w:rsid w:val="002505E2"/>
    <w:rsid w:val="00261EAF"/>
    <w:rsid w:val="00262679"/>
    <w:rsid w:val="00263028"/>
    <w:rsid w:val="002638F9"/>
    <w:rsid w:val="00263E80"/>
    <w:rsid w:val="00267FD2"/>
    <w:rsid w:val="002738EC"/>
    <w:rsid w:val="002814D0"/>
    <w:rsid w:val="00281B78"/>
    <w:rsid w:val="002838F7"/>
    <w:rsid w:val="002908DD"/>
    <w:rsid w:val="00291DCF"/>
    <w:rsid w:val="00293DE4"/>
    <w:rsid w:val="002A0041"/>
    <w:rsid w:val="002A7F72"/>
    <w:rsid w:val="002B288C"/>
    <w:rsid w:val="002B5829"/>
    <w:rsid w:val="002C0EC6"/>
    <w:rsid w:val="002C474A"/>
    <w:rsid w:val="002C5149"/>
    <w:rsid w:val="002D3C4B"/>
    <w:rsid w:val="002E2D9D"/>
    <w:rsid w:val="002E3E9B"/>
    <w:rsid w:val="002E7399"/>
    <w:rsid w:val="002F3041"/>
    <w:rsid w:val="002F34CC"/>
    <w:rsid w:val="002F3A49"/>
    <w:rsid w:val="002F6BD5"/>
    <w:rsid w:val="0030148D"/>
    <w:rsid w:val="00301EC5"/>
    <w:rsid w:val="00301F56"/>
    <w:rsid w:val="003064F2"/>
    <w:rsid w:val="00311178"/>
    <w:rsid w:val="00315EBA"/>
    <w:rsid w:val="00320582"/>
    <w:rsid w:val="003225E0"/>
    <w:rsid w:val="00325940"/>
    <w:rsid w:val="00332513"/>
    <w:rsid w:val="00332CB1"/>
    <w:rsid w:val="003344F1"/>
    <w:rsid w:val="00335539"/>
    <w:rsid w:val="0033641F"/>
    <w:rsid w:val="00343995"/>
    <w:rsid w:val="003465F0"/>
    <w:rsid w:val="0035023B"/>
    <w:rsid w:val="00350684"/>
    <w:rsid w:val="00350AA5"/>
    <w:rsid w:val="003517C8"/>
    <w:rsid w:val="00353ED8"/>
    <w:rsid w:val="003560CF"/>
    <w:rsid w:val="003571A2"/>
    <w:rsid w:val="00357704"/>
    <w:rsid w:val="00361B3A"/>
    <w:rsid w:val="00364622"/>
    <w:rsid w:val="00367310"/>
    <w:rsid w:val="003815AF"/>
    <w:rsid w:val="003901FB"/>
    <w:rsid w:val="00396293"/>
    <w:rsid w:val="003A6C50"/>
    <w:rsid w:val="003A6FC8"/>
    <w:rsid w:val="003A7F72"/>
    <w:rsid w:val="003B4F87"/>
    <w:rsid w:val="003B7B61"/>
    <w:rsid w:val="003C0261"/>
    <w:rsid w:val="003C5D08"/>
    <w:rsid w:val="003D02B8"/>
    <w:rsid w:val="003D49B4"/>
    <w:rsid w:val="003D7B53"/>
    <w:rsid w:val="003E0E4F"/>
    <w:rsid w:val="003E14FC"/>
    <w:rsid w:val="003E3520"/>
    <w:rsid w:val="003E3C67"/>
    <w:rsid w:val="003E72AA"/>
    <w:rsid w:val="003E7E95"/>
    <w:rsid w:val="003F073D"/>
    <w:rsid w:val="003F4EDC"/>
    <w:rsid w:val="003F5089"/>
    <w:rsid w:val="003F7F7D"/>
    <w:rsid w:val="00403895"/>
    <w:rsid w:val="00403B92"/>
    <w:rsid w:val="00405583"/>
    <w:rsid w:val="00405702"/>
    <w:rsid w:val="0040634B"/>
    <w:rsid w:val="00412F1C"/>
    <w:rsid w:val="00412F98"/>
    <w:rsid w:val="00414A52"/>
    <w:rsid w:val="00416F45"/>
    <w:rsid w:val="00424BF9"/>
    <w:rsid w:val="00426291"/>
    <w:rsid w:val="00427804"/>
    <w:rsid w:val="0043035F"/>
    <w:rsid w:val="00437B73"/>
    <w:rsid w:val="004456C9"/>
    <w:rsid w:val="00452372"/>
    <w:rsid w:val="00453464"/>
    <w:rsid w:val="0045670A"/>
    <w:rsid w:val="00456BB5"/>
    <w:rsid w:val="00460535"/>
    <w:rsid w:val="00462386"/>
    <w:rsid w:val="004633BA"/>
    <w:rsid w:val="004677CC"/>
    <w:rsid w:val="004737BB"/>
    <w:rsid w:val="00475B06"/>
    <w:rsid w:val="00480A59"/>
    <w:rsid w:val="0049185B"/>
    <w:rsid w:val="00495222"/>
    <w:rsid w:val="004B0D70"/>
    <w:rsid w:val="004B2588"/>
    <w:rsid w:val="004B395E"/>
    <w:rsid w:val="004B5233"/>
    <w:rsid w:val="004C1E46"/>
    <w:rsid w:val="004C3EA7"/>
    <w:rsid w:val="004E4E65"/>
    <w:rsid w:val="004E6224"/>
    <w:rsid w:val="004F5467"/>
    <w:rsid w:val="005008E4"/>
    <w:rsid w:val="00506343"/>
    <w:rsid w:val="00516B46"/>
    <w:rsid w:val="00524618"/>
    <w:rsid w:val="00524B6D"/>
    <w:rsid w:val="00533EE4"/>
    <w:rsid w:val="00542171"/>
    <w:rsid w:val="005422C4"/>
    <w:rsid w:val="00543A16"/>
    <w:rsid w:val="005618E5"/>
    <w:rsid w:val="00566252"/>
    <w:rsid w:val="00566843"/>
    <w:rsid w:val="00571C3F"/>
    <w:rsid w:val="005747A0"/>
    <w:rsid w:val="00575768"/>
    <w:rsid w:val="0057698B"/>
    <w:rsid w:val="0058393C"/>
    <w:rsid w:val="005846E0"/>
    <w:rsid w:val="0058632B"/>
    <w:rsid w:val="0059310D"/>
    <w:rsid w:val="00594A06"/>
    <w:rsid w:val="005953A6"/>
    <w:rsid w:val="00597A1D"/>
    <w:rsid w:val="005A1341"/>
    <w:rsid w:val="005A271E"/>
    <w:rsid w:val="005A2986"/>
    <w:rsid w:val="005A3B2E"/>
    <w:rsid w:val="005B0E51"/>
    <w:rsid w:val="005B104C"/>
    <w:rsid w:val="005B3AEB"/>
    <w:rsid w:val="005B5E4B"/>
    <w:rsid w:val="005C31CF"/>
    <w:rsid w:val="005D06B7"/>
    <w:rsid w:val="005D48AA"/>
    <w:rsid w:val="005D5D8F"/>
    <w:rsid w:val="005D6B1C"/>
    <w:rsid w:val="005D7DD3"/>
    <w:rsid w:val="005E2F92"/>
    <w:rsid w:val="005E3EF8"/>
    <w:rsid w:val="005E5038"/>
    <w:rsid w:val="005F2420"/>
    <w:rsid w:val="005F268C"/>
    <w:rsid w:val="005F5C99"/>
    <w:rsid w:val="0060279B"/>
    <w:rsid w:val="00606E68"/>
    <w:rsid w:val="00611193"/>
    <w:rsid w:val="00612127"/>
    <w:rsid w:val="00613830"/>
    <w:rsid w:val="006165F2"/>
    <w:rsid w:val="0062251E"/>
    <w:rsid w:val="006260EF"/>
    <w:rsid w:val="00633722"/>
    <w:rsid w:val="00634F75"/>
    <w:rsid w:val="0064076F"/>
    <w:rsid w:val="00646C2F"/>
    <w:rsid w:val="00650B34"/>
    <w:rsid w:val="00652B19"/>
    <w:rsid w:val="006562BF"/>
    <w:rsid w:val="006662CB"/>
    <w:rsid w:val="006667F8"/>
    <w:rsid w:val="006742AD"/>
    <w:rsid w:val="00675A05"/>
    <w:rsid w:val="006764C1"/>
    <w:rsid w:val="0068141C"/>
    <w:rsid w:val="00681EF2"/>
    <w:rsid w:val="00686673"/>
    <w:rsid w:val="006872D3"/>
    <w:rsid w:val="00687C97"/>
    <w:rsid w:val="00690BDC"/>
    <w:rsid w:val="006A120A"/>
    <w:rsid w:val="006A236F"/>
    <w:rsid w:val="006A23C7"/>
    <w:rsid w:val="006A302C"/>
    <w:rsid w:val="006A452D"/>
    <w:rsid w:val="006B0A60"/>
    <w:rsid w:val="006B16D5"/>
    <w:rsid w:val="006B270C"/>
    <w:rsid w:val="006B5148"/>
    <w:rsid w:val="006B7EF8"/>
    <w:rsid w:val="006C145B"/>
    <w:rsid w:val="006C21C6"/>
    <w:rsid w:val="006D0372"/>
    <w:rsid w:val="006D4003"/>
    <w:rsid w:val="006E1B88"/>
    <w:rsid w:val="007000CF"/>
    <w:rsid w:val="0070052E"/>
    <w:rsid w:val="0070205E"/>
    <w:rsid w:val="0070398F"/>
    <w:rsid w:val="00705328"/>
    <w:rsid w:val="00711BB2"/>
    <w:rsid w:val="00713AE8"/>
    <w:rsid w:val="00717480"/>
    <w:rsid w:val="007274A2"/>
    <w:rsid w:val="00730D31"/>
    <w:rsid w:val="007311B8"/>
    <w:rsid w:val="0073278A"/>
    <w:rsid w:val="00737CB2"/>
    <w:rsid w:val="0074018F"/>
    <w:rsid w:val="00742BC6"/>
    <w:rsid w:val="00750695"/>
    <w:rsid w:val="007559E2"/>
    <w:rsid w:val="0077452C"/>
    <w:rsid w:val="00776F41"/>
    <w:rsid w:val="00783878"/>
    <w:rsid w:val="007865D0"/>
    <w:rsid w:val="007A0652"/>
    <w:rsid w:val="007A140C"/>
    <w:rsid w:val="007A33AB"/>
    <w:rsid w:val="007B4D15"/>
    <w:rsid w:val="007B663D"/>
    <w:rsid w:val="007B7D76"/>
    <w:rsid w:val="007C347E"/>
    <w:rsid w:val="007C7149"/>
    <w:rsid w:val="007D023C"/>
    <w:rsid w:val="007D32F7"/>
    <w:rsid w:val="007D57F5"/>
    <w:rsid w:val="007D6604"/>
    <w:rsid w:val="007E013E"/>
    <w:rsid w:val="007F5146"/>
    <w:rsid w:val="008007C7"/>
    <w:rsid w:val="00800AFC"/>
    <w:rsid w:val="0080732D"/>
    <w:rsid w:val="00815881"/>
    <w:rsid w:val="00821058"/>
    <w:rsid w:val="008219D1"/>
    <w:rsid w:val="00831B4C"/>
    <w:rsid w:val="0084572E"/>
    <w:rsid w:val="008578AB"/>
    <w:rsid w:val="00862271"/>
    <w:rsid w:val="008773C2"/>
    <w:rsid w:val="00880BC4"/>
    <w:rsid w:val="008848B8"/>
    <w:rsid w:val="0088534E"/>
    <w:rsid w:val="008936C4"/>
    <w:rsid w:val="00894867"/>
    <w:rsid w:val="00895721"/>
    <w:rsid w:val="00895D40"/>
    <w:rsid w:val="00896600"/>
    <w:rsid w:val="00897DF9"/>
    <w:rsid w:val="008A3C47"/>
    <w:rsid w:val="008A3E05"/>
    <w:rsid w:val="008A4E0B"/>
    <w:rsid w:val="008B093E"/>
    <w:rsid w:val="008B5370"/>
    <w:rsid w:val="008C0AD5"/>
    <w:rsid w:val="008C6E90"/>
    <w:rsid w:val="008D0714"/>
    <w:rsid w:val="008D5F0B"/>
    <w:rsid w:val="008F0BD0"/>
    <w:rsid w:val="008F7558"/>
    <w:rsid w:val="008F7807"/>
    <w:rsid w:val="00900DE0"/>
    <w:rsid w:val="00901317"/>
    <w:rsid w:val="00904A00"/>
    <w:rsid w:val="00912FB4"/>
    <w:rsid w:val="009202F8"/>
    <w:rsid w:val="009243BE"/>
    <w:rsid w:val="00932C4B"/>
    <w:rsid w:val="00943733"/>
    <w:rsid w:val="00951B92"/>
    <w:rsid w:val="00953422"/>
    <w:rsid w:val="0095454C"/>
    <w:rsid w:val="0096118F"/>
    <w:rsid w:val="00970D57"/>
    <w:rsid w:val="0097542B"/>
    <w:rsid w:val="009775B1"/>
    <w:rsid w:val="00982F2D"/>
    <w:rsid w:val="00986544"/>
    <w:rsid w:val="00992E91"/>
    <w:rsid w:val="00997F5B"/>
    <w:rsid w:val="009A4483"/>
    <w:rsid w:val="009B0459"/>
    <w:rsid w:val="009B05F1"/>
    <w:rsid w:val="009B09A7"/>
    <w:rsid w:val="009B538E"/>
    <w:rsid w:val="009B55A3"/>
    <w:rsid w:val="009B6DB9"/>
    <w:rsid w:val="009B6F33"/>
    <w:rsid w:val="009C0BA3"/>
    <w:rsid w:val="009C1E32"/>
    <w:rsid w:val="009C50F6"/>
    <w:rsid w:val="009C5279"/>
    <w:rsid w:val="009C784B"/>
    <w:rsid w:val="009D1D42"/>
    <w:rsid w:val="009D3B39"/>
    <w:rsid w:val="009D5EA9"/>
    <w:rsid w:val="009D670E"/>
    <w:rsid w:val="009E52E5"/>
    <w:rsid w:val="009F15EE"/>
    <w:rsid w:val="009F3B4F"/>
    <w:rsid w:val="009F56BD"/>
    <w:rsid w:val="009F5A66"/>
    <w:rsid w:val="00A00AA9"/>
    <w:rsid w:val="00A01456"/>
    <w:rsid w:val="00A0500B"/>
    <w:rsid w:val="00A155C7"/>
    <w:rsid w:val="00A1596D"/>
    <w:rsid w:val="00A15F6F"/>
    <w:rsid w:val="00A2139B"/>
    <w:rsid w:val="00A2389D"/>
    <w:rsid w:val="00A252EF"/>
    <w:rsid w:val="00A36108"/>
    <w:rsid w:val="00A442E4"/>
    <w:rsid w:val="00A47D89"/>
    <w:rsid w:val="00A5149B"/>
    <w:rsid w:val="00A561D3"/>
    <w:rsid w:val="00A5714D"/>
    <w:rsid w:val="00A57AB4"/>
    <w:rsid w:val="00A671FD"/>
    <w:rsid w:val="00A70185"/>
    <w:rsid w:val="00A704EE"/>
    <w:rsid w:val="00A7107F"/>
    <w:rsid w:val="00A7176D"/>
    <w:rsid w:val="00A73436"/>
    <w:rsid w:val="00A766DC"/>
    <w:rsid w:val="00A7694F"/>
    <w:rsid w:val="00A856F4"/>
    <w:rsid w:val="00A85D2C"/>
    <w:rsid w:val="00A85F52"/>
    <w:rsid w:val="00A874E9"/>
    <w:rsid w:val="00A93B0E"/>
    <w:rsid w:val="00A9719A"/>
    <w:rsid w:val="00AA0978"/>
    <w:rsid w:val="00AA0DCA"/>
    <w:rsid w:val="00AA2596"/>
    <w:rsid w:val="00AA67C3"/>
    <w:rsid w:val="00AA6965"/>
    <w:rsid w:val="00AB193A"/>
    <w:rsid w:val="00AB5272"/>
    <w:rsid w:val="00AB640B"/>
    <w:rsid w:val="00AC2744"/>
    <w:rsid w:val="00AC524D"/>
    <w:rsid w:val="00AC595C"/>
    <w:rsid w:val="00AD0778"/>
    <w:rsid w:val="00AD0CAD"/>
    <w:rsid w:val="00AD4B76"/>
    <w:rsid w:val="00AD5644"/>
    <w:rsid w:val="00AF0624"/>
    <w:rsid w:val="00AF2B60"/>
    <w:rsid w:val="00AF576A"/>
    <w:rsid w:val="00AF6ABA"/>
    <w:rsid w:val="00B01C64"/>
    <w:rsid w:val="00B02008"/>
    <w:rsid w:val="00B172C0"/>
    <w:rsid w:val="00B24EFA"/>
    <w:rsid w:val="00B2521A"/>
    <w:rsid w:val="00B30B9D"/>
    <w:rsid w:val="00B312D4"/>
    <w:rsid w:val="00B32B2C"/>
    <w:rsid w:val="00B355CB"/>
    <w:rsid w:val="00B40E7E"/>
    <w:rsid w:val="00B43EB8"/>
    <w:rsid w:val="00B45F48"/>
    <w:rsid w:val="00B46310"/>
    <w:rsid w:val="00B476E0"/>
    <w:rsid w:val="00B47B71"/>
    <w:rsid w:val="00B53B09"/>
    <w:rsid w:val="00B56CDE"/>
    <w:rsid w:val="00B5758C"/>
    <w:rsid w:val="00B66AA7"/>
    <w:rsid w:val="00B70C58"/>
    <w:rsid w:val="00B7262D"/>
    <w:rsid w:val="00B76B6E"/>
    <w:rsid w:val="00B8365C"/>
    <w:rsid w:val="00B83678"/>
    <w:rsid w:val="00B83AAC"/>
    <w:rsid w:val="00B869EC"/>
    <w:rsid w:val="00B9136E"/>
    <w:rsid w:val="00BA2999"/>
    <w:rsid w:val="00BB3D29"/>
    <w:rsid w:val="00BB3FF4"/>
    <w:rsid w:val="00BB4CC3"/>
    <w:rsid w:val="00BC134E"/>
    <w:rsid w:val="00BC30E1"/>
    <w:rsid w:val="00BC61BF"/>
    <w:rsid w:val="00BD2E19"/>
    <w:rsid w:val="00BD4152"/>
    <w:rsid w:val="00BD6448"/>
    <w:rsid w:val="00BD7686"/>
    <w:rsid w:val="00BE1A36"/>
    <w:rsid w:val="00BE5FC8"/>
    <w:rsid w:val="00BF13C3"/>
    <w:rsid w:val="00BF290C"/>
    <w:rsid w:val="00BF6434"/>
    <w:rsid w:val="00BF7B76"/>
    <w:rsid w:val="00C01062"/>
    <w:rsid w:val="00C10C14"/>
    <w:rsid w:val="00C1180B"/>
    <w:rsid w:val="00C12555"/>
    <w:rsid w:val="00C14276"/>
    <w:rsid w:val="00C1455C"/>
    <w:rsid w:val="00C155F7"/>
    <w:rsid w:val="00C158A3"/>
    <w:rsid w:val="00C20DFF"/>
    <w:rsid w:val="00C2268E"/>
    <w:rsid w:val="00C2351F"/>
    <w:rsid w:val="00C24402"/>
    <w:rsid w:val="00C255CB"/>
    <w:rsid w:val="00C25774"/>
    <w:rsid w:val="00C25DCE"/>
    <w:rsid w:val="00C3197D"/>
    <w:rsid w:val="00C319CD"/>
    <w:rsid w:val="00C32247"/>
    <w:rsid w:val="00C353FE"/>
    <w:rsid w:val="00C35523"/>
    <w:rsid w:val="00C37A8C"/>
    <w:rsid w:val="00C37C63"/>
    <w:rsid w:val="00C44274"/>
    <w:rsid w:val="00C4643F"/>
    <w:rsid w:val="00C50645"/>
    <w:rsid w:val="00C52D55"/>
    <w:rsid w:val="00C53D45"/>
    <w:rsid w:val="00C53D74"/>
    <w:rsid w:val="00C57ABF"/>
    <w:rsid w:val="00C6546F"/>
    <w:rsid w:val="00C67EFF"/>
    <w:rsid w:val="00C71FED"/>
    <w:rsid w:val="00C72921"/>
    <w:rsid w:val="00C739D2"/>
    <w:rsid w:val="00C75D56"/>
    <w:rsid w:val="00C80D6C"/>
    <w:rsid w:val="00C82604"/>
    <w:rsid w:val="00C82CD1"/>
    <w:rsid w:val="00C8618F"/>
    <w:rsid w:val="00C90A1B"/>
    <w:rsid w:val="00C92C12"/>
    <w:rsid w:val="00C95E32"/>
    <w:rsid w:val="00C97977"/>
    <w:rsid w:val="00CA19D2"/>
    <w:rsid w:val="00CA1E36"/>
    <w:rsid w:val="00CB6FF2"/>
    <w:rsid w:val="00CB7BD3"/>
    <w:rsid w:val="00CC0CE1"/>
    <w:rsid w:val="00CC5D75"/>
    <w:rsid w:val="00CE125F"/>
    <w:rsid w:val="00CE45E2"/>
    <w:rsid w:val="00CE6E46"/>
    <w:rsid w:val="00CF44F1"/>
    <w:rsid w:val="00D04317"/>
    <w:rsid w:val="00D0510D"/>
    <w:rsid w:val="00D066EA"/>
    <w:rsid w:val="00D10569"/>
    <w:rsid w:val="00D13BF1"/>
    <w:rsid w:val="00D211C9"/>
    <w:rsid w:val="00D21B26"/>
    <w:rsid w:val="00D27997"/>
    <w:rsid w:val="00D308C5"/>
    <w:rsid w:val="00D31B79"/>
    <w:rsid w:val="00D33732"/>
    <w:rsid w:val="00D3536B"/>
    <w:rsid w:val="00D35BC6"/>
    <w:rsid w:val="00D410F2"/>
    <w:rsid w:val="00D42277"/>
    <w:rsid w:val="00D425AF"/>
    <w:rsid w:val="00D45C2E"/>
    <w:rsid w:val="00D47D91"/>
    <w:rsid w:val="00D50236"/>
    <w:rsid w:val="00D55DA9"/>
    <w:rsid w:val="00D609A0"/>
    <w:rsid w:val="00D62B9F"/>
    <w:rsid w:val="00D62D2A"/>
    <w:rsid w:val="00D66C1F"/>
    <w:rsid w:val="00D67DE4"/>
    <w:rsid w:val="00D71D42"/>
    <w:rsid w:val="00D7333C"/>
    <w:rsid w:val="00D74FD8"/>
    <w:rsid w:val="00D758EB"/>
    <w:rsid w:val="00D7616B"/>
    <w:rsid w:val="00D7627C"/>
    <w:rsid w:val="00D7701D"/>
    <w:rsid w:val="00D905A7"/>
    <w:rsid w:val="00D90B40"/>
    <w:rsid w:val="00D91D36"/>
    <w:rsid w:val="00DA19D0"/>
    <w:rsid w:val="00DA3767"/>
    <w:rsid w:val="00DA3850"/>
    <w:rsid w:val="00DA3C3A"/>
    <w:rsid w:val="00DA4011"/>
    <w:rsid w:val="00DC6A7C"/>
    <w:rsid w:val="00DE2AE7"/>
    <w:rsid w:val="00DE3FF8"/>
    <w:rsid w:val="00DE4305"/>
    <w:rsid w:val="00DE7B7B"/>
    <w:rsid w:val="00DF4CAB"/>
    <w:rsid w:val="00DF66F4"/>
    <w:rsid w:val="00E0308C"/>
    <w:rsid w:val="00E040A5"/>
    <w:rsid w:val="00E130AB"/>
    <w:rsid w:val="00E14C18"/>
    <w:rsid w:val="00E173A5"/>
    <w:rsid w:val="00E21CD7"/>
    <w:rsid w:val="00E25B63"/>
    <w:rsid w:val="00E33FA7"/>
    <w:rsid w:val="00E34C47"/>
    <w:rsid w:val="00E37DAD"/>
    <w:rsid w:val="00E44815"/>
    <w:rsid w:val="00E46EEA"/>
    <w:rsid w:val="00E4742D"/>
    <w:rsid w:val="00E51D80"/>
    <w:rsid w:val="00E603AE"/>
    <w:rsid w:val="00E6155E"/>
    <w:rsid w:val="00E62F12"/>
    <w:rsid w:val="00E73088"/>
    <w:rsid w:val="00E74C73"/>
    <w:rsid w:val="00E82659"/>
    <w:rsid w:val="00E8479D"/>
    <w:rsid w:val="00E84E7F"/>
    <w:rsid w:val="00E870E9"/>
    <w:rsid w:val="00E87B32"/>
    <w:rsid w:val="00E93742"/>
    <w:rsid w:val="00E93849"/>
    <w:rsid w:val="00E9635B"/>
    <w:rsid w:val="00EA1719"/>
    <w:rsid w:val="00EB0ED2"/>
    <w:rsid w:val="00EC269F"/>
    <w:rsid w:val="00EC4F41"/>
    <w:rsid w:val="00EC563B"/>
    <w:rsid w:val="00EC664C"/>
    <w:rsid w:val="00ED61E6"/>
    <w:rsid w:val="00EE435F"/>
    <w:rsid w:val="00EF32DC"/>
    <w:rsid w:val="00EF3C16"/>
    <w:rsid w:val="00EF3D1E"/>
    <w:rsid w:val="00EF4C66"/>
    <w:rsid w:val="00EF4E45"/>
    <w:rsid w:val="00EF5079"/>
    <w:rsid w:val="00EF6C19"/>
    <w:rsid w:val="00F11B73"/>
    <w:rsid w:val="00F1663B"/>
    <w:rsid w:val="00F17FD2"/>
    <w:rsid w:val="00F2335E"/>
    <w:rsid w:val="00F2386E"/>
    <w:rsid w:val="00F359E3"/>
    <w:rsid w:val="00F3771A"/>
    <w:rsid w:val="00F43780"/>
    <w:rsid w:val="00F439D3"/>
    <w:rsid w:val="00F46675"/>
    <w:rsid w:val="00F53437"/>
    <w:rsid w:val="00F65554"/>
    <w:rsid w:val="00F65880"/>
    <w:rsid w:val="00F70078"/>
    <w:rsid w:val="00F73041"/>
    <w:rsid w:val="00F732FE"/>
    <w:rsid w:val="00F75F3E"/>
    <w:rsid w:val="00F812D3"/>
    <w:rsid w:val="00F865CC"/>
    <w:rsid w:val="00F90BE6"/>
    <w:rsid w:val="00F91911"/>
    <w:rsid w:val="00FA302A"/>
    <w:rsid w:val="00FA3454"/>
    <w:rsid w:val="00FB041F"/>
    <w:rsid w:val="00FB0BCE"/>
    <w:rsid w:val="00FB2072"/>
    <w:rsid w:val="00FC0A0C"/>
    <w:rsid w:val="00FC2B2B"/>
    <w:rsid w:val="00FC314B"/>
    <w:rsid w:val="00FC55C1"/>
    <w:rsid w:val="00FC64B9"/>
    <w:rsid w:val="00FD054C"/>
    <w:rsid w:val="00FD23BD"/>
    <w:rsid w:val="00FD3768"/>
    <w:rsid w:val="00FD4AB0"/>
    <w:rsid w:val="00FD5BAB"/>
    <w:rsid w:val="00FE0959"/>
    <w:rsid w:val="00FE4035"/>
    <w:rsid w:val="00FE5511"/>
    <w:rsid w:val="00FF0C1D"/>
    <w:rsid w:val="00FF11A4"/>
    <w:rsid w:val="00FF15D5"/>
    <w:rsid w:val="00FF5733"/>
    <w:rsid w:val="00FF64DC"/>
    <w:rsid w:val="00FF6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829"/>
    <w:rPr>
      <w:rFonts w:ascii="Arial" w:hAnsi="Arial" w:cs="Arial"/>
    </w:rPr>
  </w:style>
  <w:style w:type="paragraph" w:styleId="Heading1">
    <w:name w:val="heading 1"/>
    <w:basedOn w:val="Normal"/>
    <w:next w:val="Normal"/>
    <w:link w:val="Heading1Char"/>
    <w:uiPriority w:val="99"/>
    <w:qFormat/>
    <w:rsid w:val="002B5829"/>
    <w:pPr>
      <w:keepNext/>
      <w:numPr>
        <w:numId w:val="3"/>
      </w:numPr>
      <w:spacing w:before="240" w:after="480"/>
      <w:outlineLvl w:val="0"/>
    </w:pPr>
    <w:rPr>
      <w:b/>
      <w:bCs/>
      <w:kern w:val="32"/>
      <w:sz w:val="32"/>
      <w:szCs w:val="32"/>
    </w:rPr>
  </w:style>
  <w:style w:type="paragraph" w:styleId="Heading2">
    <w:name w:val="heading 2"/>
    <w:basedOn w:val="Normal"/>
    <w:next w:val="Normal"/>
    <w:link w:val="Heading2Char"/>
    <w:uiPriority w:val="99"/>
    <w:qFormat/>
    <w:rsid w:val="002B5829"/>
    <w:pPr>
      <w:keepNext/>
      <w:numPr>
        <w:ilvl w:val="1"/>
        <w:numId w:val="3"/>
      </w:numPr>
      <w:spacing w:before="480" w:after="120"/>
      <w:outlineLvl w:val="1"/>
    </w:pPr>
    <w:rPr>
      <w:b/>
      <w:bCs/>
      <w:iCs/>
      <w:sz w:val="28"/>
      <w:szCs w:val="28"/>
    </w:rPr>
  </w:style>
  <w:style w:type="paragraph" w:styleId="Heading3">
    <w:name w:val="heading 3"/>
    <w:basedOn w:val="Normal"/>
    <w:next w:val="Normal"/>
    <w:link w:val="Heading3Char"/>
    <w:uiPriority w:val="99"/>
    <w:qFormat/>
    <w:rsid w:val="002B5829"/>
    <w:pPr>
      <w:keepNext/>
      <w:numPr>
        <w:ilvl w:val="2"/>
        <w:numId w:val="3"/>
      </w:numPr>
      <w:spacing w:before="360" w:after="120"/>
      <w:outlineLvl w:val="2"/>
    </w:pPr>
    <w:rPr>
      <w:b/>
      <w:bCs/>
      <w:sz w:val="26"/>
      <w:szCs w:val="26"/>
    </w:rPr>
  </w:style>
  <w:style w:type="paragraph" w:styleId="Heading4">
    <w:name w:val="heading 4"/>
    <w:basedOn w:val="Normal"/>
    <w:next w:val="Normal"/>
    <w:link w:val="Heading4Char"/>
    <w:uiPriority w:val="99"/>
    <w:qFormat/>
    <w:rsid w:val="002B5829"/>
    <w:pPr>
      <w:keepNext/>
      <w:numPr>
        <w:ilvl w:val="3"/>
        <w:numId w:val="3"/>
      </w:numPr>
      <w:spacing w:before="240" w:after="60"/>
      <w:outlineLvl w:val="3"/>
    </w:pPr>
    <w:rPr>
      <w:b/>
      <w:bCs/>
      <w:szCs w:val="28"/>
    </w:rPr>
  </w:style>
  <w:style w:type="paragraph" w:styleId="Heading5">
    <w:name w:val="heading 5"/>
    <w:basedOn w:val="Normal"/>
    <w:next w:val="Normal"/>
    <w:link w:val="Heading5Char"/>
    <w:uiPriority w:val="99"/>
    <w:qFormat/>
    <w:rsid w:val="002B5829"/>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2B5829"/>
    <w:pPr>
      <w:numPr>
        <w:ilvl w:val="5"/>
        <w:numId w:val="3"/>
      </w:numPr>
      <w:spacing w:before="240" w:after="60"/>
      <w:outlineLvl w:val="5"/>
    </w:pPr>
    <w:rPr>
      <w:b/>
      <w:bCs/>
    </w:rPr>
  </w:style>
  <w:style w:type="paragraph" w:styleId="Heading7">
    <w:name w:val="heading 7"/>
    <w:basedOn w:val="Normal"/>
    <w:next w:val="Normal"/>
    <w:link w:val="Heading7Char"/>
    <w:uiPriority w:val="99"/>
    <w:qFormat/>
    <w:rsid w:val="002B5829"/>
    <w:pPr>
      <w:numPr>
        <w:ilvl w:val="6"/>
        <w:numId w:val="3"/>
      </w:numPr>
      <w:spacing w:before="240" w:after="60"/>
      <w:outlineLvl w:val="6"/>
    </w:pPr>
  </w:style>
  <w:style w:type="paragraph" w:styleId="Heading8">
    <w:name w:val="heading 8"/>
    <w:basedOn w:val="Normal"/>
    <w:next w:val="Normal"/>
    <w:link w:val="Heading8Char"/>
    <w:uiPriority w:val="99"/>
    <w:qFormat/>
    <w:rsid w:val="002B5829"/>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2B5829"/>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A5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2B5829"/>
    <w:rPr>
      <w:rFonts w:ascii="Arial" w:hAnsi="Arial" w:cs="Arial"/>
      <w:b/>
      <w:bCs/>
      <w:iCs/>
      <w:sz w:val="28"/>
      <w:szCs w:val="28"/>
      <w:lang w:val="en-GB" w:eastAsia="en-GB" w:bidi="ar-SA"/>
    </w:rPr>
  </w:style>
  <w:style w:type="character" w:customStyle="1" w:styleId="Heading3Char">
    <w:name w:val="Heading 3 Char"/>
    <w:basedOn w:val="DefaultParagraphFont"/>
    <w:link w:val="Heading3"/>
    <w:uiPriority w:val="9"/>
    <w:semiHidden/>
    <w:rsid w:val="00244A5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44A5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44A5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44A5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44A5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44A5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44A50"/>
    <w:rPr>
      <w:rFonts w:asciiTheme="majorHAnsi" w:eastAsiaTheme="majorEastAsia" w:hAnsiTheme="majorHAnsi" w:cstheme="majorBidi"/>
    </w:rPr>
  </w:style>
  <w:style w:type="paragraph" w:customStyle="1" w:styleId="Style2">
    <w:name w:val="Style2"/>
    <w:basedOn w:val="Normal"/>
    <w:autoRedefine/>
    <w:uiPriority w:val="99"/>
    <w:rsid w:val="002B5829"/>
    <w:pPr>
      <w:numPr>
        <w:numId w:val="1"/>
      </w:numPr>
    </w:pPr>
    <w:rPr>
      <w:b/>
      <w:bCs/>
      <w:sz w:val="20"/>
      <w:szCs w:val="20"/>
    </w:rPr>
  </w:style>
  <w:style w:type="paragraph" w:customStyle="1" w:styleId="TOC1">
    <w:name w:val="TOC1"/>
    <w:basedOn w:val="TOC10"/>
    <w:autoRedefine/>
    <w:uiPriority w:val="99"/>
    <w:rsid w:val="002B5829"/>
    <w:rPr>
      <w:b w:val="0"/>
      <w:sz w:val="28"/>
      <w:szCs w:val="28"/>
      <w:lang w:val="en-US" w:eastAsia="en-US"/>
    </w:rPr>
  </w:style>
  <w:style w:type="paragraph" w:styleId="TOC10">
    <w:name w:val="toc 1"/>
    <w:basedOn w:val="Normal"/>
    <w:next w:val="Normal"/>
    <w:autoRedefine/>
    <w:uiPriority w:val="99"/>
    <w:semiHidden/>
    <w:rsid w:val="002B5829"/>
    <w:pPr>
      <w:tabs>
        <w:tab w:val="right" w:leader="dot" w:pos="8494"/>
      </w:tabs>
      <w:spacing w:line="360" w:lineRule="auto"/>
    </w:pPr>
    <w:rPr>
      <w:b/>
      <w:noProof/>
    </w:rPr>
  </w:style>
  <w:style w:type="paragraph" w:styleId="Header">
    <w:name w:val="header"/>
    <w:basedOn w:val="Normal"/>
    <w:link w:val="HeaderChar"/>
    <w:uiPriority w:val="99"/>
    <w:rsid w:val="002B5829"/>
    <w:pPr>
      <w:tabs>
        <w:tab w:val="center" w:pos="4153"/>
        <w:tab w:val="right" w:pos="8306"/>
      </w:tabs>
    </w:pPr>
  </w:style>
  <w:style w:type="character" w:customStyle="1" w:styleId="HeaderChar">
    <w:name w:val="Header Char"/>
    <w:basedOn w:val="DefaultParagraphFont"/>
    <w:link w:val="Header"/>
    <w:uiPriority w:val="99"/>
    <w:semiHidden/>
    <w:rsid w:val="00244A50"/>
    <w:rPr>
      <w:rFonts w:ascii="Arial" w:hAnsi="Arial" w:cs="Arial"/>
    </w:rPr>
  </w:style>
  <w:style w:type="paragraph" w:styleId="Footer">
    <w:name w:val="footer"/>
    <w:basedOn w:val="Normal"/>
    <w:link w:val="FooterChar"/>
    <w:uiPriority w:val="99"/>
    <w:rsid w:val="002B5829"/>
    <w:pPr>
      <w:tabs>
        <w:tab w:val="center" w:pos="4153"/>
        <w:tab w:val="right" w:pos="8306"/>
      </w:tabs>
    </w:pPr>
  </w:style>
  <w:style w:type="character" w:customStyle="1" w:styleId="FooterChar">
    <w:name w:val="Footer Char"/>
    <w:basedOn w:val="DefaultParagraphFont"/>
    <w:link w:val="Footer"/>
    <w:uiPriority w:val="99"/>
    <w:locked/>
    <w:rsid w:val="00003487"/>
    <w:rPr>
      <w:rFonts w:ascii="Arial" w:hAnsi="Arial" w:cs="Arial"/>
      <w:sz w:val="22"/>
      <w:szCs w:val="22"/>
    </w:rPr>
  </w:style>
  <w:style w:type="paragraph" w:customStyle="1" w:styleId="Referencetext">
    <w:name w:val="Reference text"/>
    <w:basedOn w:val="Normal"/>
    <w:uiPriority w:val="99"/>
    <w:rsid w:val="002B5829"/>
    <w:pPr>
      <w:overflowPunct w:val="0"/>
      <w:autoSpaceDE w:val="0"/>
      <w:autoSpaceDN w:val="0"/>
      <w:adjustRightInd w:val="0"/>
      <w:spacing w:line="220" w:lineRule="exact"/>
      <w:ind w:left="284" w:hanging="284"/>
      <w:jc w:val="both"/>
      <w:textAlignment w:val="baseline"/>
    </w:pPr>
    <w:rPr>
      <w:sz w:val="20"/>
      <w:szCs w:val="20"/>
      <w:lang w:eastAsia="en-US"/>
    </w:rPr>
  </w:style>
  <w:style w:type="character" w:styleId="PageNumber">
    <w:name w:val="page number"/>
    <w:basedOn w:val="DefaultParagraphFont"/>
    <w:uiPriority w:val="99"/>
    <w:rsid w:val="002B5829"/>
    <w:rPr>
      <w:rFonts w:cs="Times New Roman"/>
    </w:rPr>
  </w:style>
  <w:style w:type="paragraph" w:customStyle="1" w:styleId="BREbodytext">
    <w:name w:val="BRE body text"/>
    <w:basedOn w:val="Normal"/>
    <w:uiPriority w:val="99"/>
    <w:rsid w:val="002B5829"/>
    <w:pPr>
      <w:spacing w:after="180" w:line="260" w:lineRule="atLeast"/>
      <w:jc w:val="both"/>
    </w:pPr>
    <w:rPr>
      <w:sz w:val="20"/>
      <w:szCs w:val="20"/>
      <w:lang w:eastAsia="cs-CZ"/>
    </w:rPr>
  </w:style>
  <w:style w:type="paragraph" w:styleId="Caption">
    <w:name w:val="caption"/>
    <w:basedOn w:val="Normal"/>
    <w:next w:val="Normal"/>
    <w:uiPriority w:val="99"/>
    <w:qFormat/>
    <w:rsid w:val="002B5829"/>
    <w:rPr>
      <w:b/>
      <w:bCs/>
      <w:sz w:val="20"/>
      <w:szCs w:val="20"/>
    </w:rPr>
  </w:style>
  <w:style w:type="paragraph" w:customStyle="1" w:styleId="Firstparagraph">
    <w:name w:val="First paragraph"/>
    <w:basedOn w:val="Normal"/>
    <w:next w:val="Normal"/>
    <w:uiPriority w:val="99"/>
    <w:rsid w:val="002B5829"/>
    <w:pPr>
      <w:overflowPunct w:val="0"/>
      <w:autoSpaceDE w:val="0"/>
      <w:autoSpaceDN w:val="0"/>
      <w:adjustRightInd w:val="0"/>
      <w:spacing w:line="260" w:lineRule="exact"/>
      <w:jc w:val="both"/>
      <w:textAlignment w:val="baseline"/>
    </w:pPr>
    <w:rPr>
      <w:szCs w:val="20"/>
      <w:lang w:eastAsia="en-US"/>
    </w:rPr>
  </w:style>
  <w:style w:type="paragraph" w:customStyle="1" w:styleId="Figure">
    <w:name w:val="Figure"/>
    <w:basedOn w:val="Normal"/>
    <w:next w:val="Normal"/>
    <w:uiPriority w:val="99"/>
    <w:rsid w:val="002B5829"/>
    <w:pPr>
      <w:overflowPunct w:val="0"/>
      <w:autoSpaceDE w:val="0"/>
      <w:autoSpaceDN w:val="0"/>
      <w:adjustRightInd w:val="0"/>
      <w:jc w:val="both"/>
      <w:textAlignment w:val="baseline"/>
    </w:pPr>
    <w:rPr>
      <w:szCs w:val="20"/>
      <w:lang w:eastAsia="en-US"/>
    </w:rPr>
  </w:style>
  <w:style w:type="paragraph" w:customStyle="1" w:styleId="Tabletext">
    <w:name w:val="Table text"/>
    <w:basedOn w:val="Normal"/>
    <w:uiPriority w:val="99"/>
    <w:rsid w:val="002B5829"/>
    <w:pPr>
      <w:overflowPunct w:val="0"/>
      <w:autoSpaceDE w:val="0"/>
      <w:autoSpaceDN w:val="0"/>
      <w:adjustRightInd w:val="0"/>
      <w:spacing w:line="220" w:lineRule="exact"/>
      <w:textAlignment w:val="baseline"/>
    </w:pPr>
    <w:rPr>
      <w:sz w:val="20"/>
      <w:szCs w:val="20"/>
      <w:lang w:eastAsia="en-US"/>
    </w:rPr>
  </w:style>
  <w:style w:type="paragraph" w:customStyle="1" w:styleId="FigureCaption">
    <w:name w:val="FigureCaption"/>
    <w:basedOn w:val="Normal"/>
    <w:uiPriority w:val="99"/>
    <w:rsid w:val="002B5829"/>
    <w:pPr>
      <w:jc w:val="center"/>
    </w:pPr>
    <w:rPr>
      <w:sz w:val="20"/>
      <w:szCs w:val="32"/>
    </w:rPr>
  </w:style>
  <w:style w:type="paragraph" w:customStyle="1" w:styleId="Figurecaption0">
    <w:name w:val="Figure caption"/>
    <w:basedOn w:val="Normal"/>
    <w:next w:val="Normal"/>
    <w:uiPriority w:val="99"/>
    <w:rsid w:val="002B5829"/>
    <w:pPr>
      <w:overflowPunct w:val="0"/>
      <w:autoSpaceDE w:val="0"/>
      <w:autoSpaceDN w:val="0"/>
      <w:adjustRightInd w:val="0"/>
      <w:spacing w:line="220" w:lineRule="exact"/>
      <w:jc w:val="both"/>
      <w:textAlignment w:val="baseline"/>
    </w:pPr>
    <w:rPr>
      <w:sz w:val="20"/>
      <w:szCs w:val="20"/>
      <w:lang w:eastAsia="en-US"/>
    </w:rPr>
  </w:style>
  <w:style w:type="paragraph" w:customStyle="1" w:styleId="StyleHeading3Italic">
    <w:name w:val="Style Heading 3 + Italic"/>
    <w:basedOn w:val="Heading3"/>
    <w:link w:val="StyleHeading3ItalicChar"/>
    <w:autoRedefine/>
    <w:uiPriority w:val="99"/>
    <w:rsid w:val="002B5829"/>
    <w:pPr>
      <w:jc w:val="both"/>
    </w:pPr>
    <w:rPr>
      <w:b w:val="0"/>
      <w:bCs w:val="0"/>
      <w:i/>
      <w:iCs/>
      <w:sz w:val="22"/>
      <w:szCs w:val="22"/>
      <w:u w:val="single"/>
    </w:rPr>
  </w:style>
  <w:style w:type="character" w:customStyle="1" w:styleId="StyleHeading3ItalicChar">
    <w:name w:val="Style Heading 3 + Italic Char"/>
    <w:basedOn w:val="DefaultParagraphFont"/>
    <w:link w:val="StyleHeading3Italic"/>
    <w:uiPriority w:val="99"/>
    <w:locked/>
    <w:rsid w:val="002B5829"/>
    <w:rPr>
      <w:rFonts w:ascii="Arial" w:hAnsi="Arial" w:cs="Arial"/>
      <w:i/>
      <w:iCs/>
      <w:sz w:val="22"/>
      <w:szCs w:val="22"/>
      <w:u w:val="single"/>
      <w:lang w:val="en-GB" w:eastAsia="en-GB" w:bidi="ar-SA"/>
    </w:rPr>
  </w:style>
  <w:style w:type="paragraph" w:styleId="NormalWeb">
    <w:name w:val="Normal (Web)"/>
    <w:basedOn w:val="Normal"/>
    <w:uiPriority w:val="99"/>
    <w:rsid w:val="002B5829"/>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99"/>
    <w:qFormat/>
    <w:rsid w:val="002B5829"/>
    <w:rPr>
      <w:rFonts w:cs="Times New Roman"/>
      <w:i/>
      <w:iCs/>
    </w:rPr>
  </w:style>
  <w:style w:type="character" w:styleId="Strong">
    <w:name w:val="Strong"/>
    <w:basedOn w:val="DefaultParagraphFont"/>
    <w:uiPriority w:val="99"/>
    <w:qFormat/>
    <w:rsid w:val="002B5829"/>
    <w:rPr>
      <w:rFonts w:cs="Times New Roman"/>
      <w:b/>
      <w:bCs/>
    </w:rPr>
  </w:style>
  <w:style w:type="character" w:styleId="Hyperlink">
    <w:name w:val="Hyperlink"/>
    <w:basedOn w:val="DefaultParagraphFont"/>
    <w:uiPriority w:val="99"/>
    <w:rsid w:val="002B5829"/>
    <w:rPr>
      <w:rFonts w:cs="Times New Roman"/>
      <w:color w:val="0000FF"/>
      <w:u w:val="single"/>
    </w:rPr>
  </w:style>
  <w:style w:type="character" w:styleId="CommentReference">
    <w:name w:val="annotation reference"/>
    <w:basedOn w:val="DefaultParagraphFont"/>
    <w:uiPriority w:val="99"/>
    <w:semiHidden/>
    <w:rsid w:val="00EE435F"/>
    <w:rPr>
      <w:rFonts w:cs="Times New Roman"/>
      <w:sz w:val="16"/>
      <w:szCs w:val="16"/>
    </w:rPr>
  </w:style>
  <w:style w:type="paragraph" w:styleId="CommentText">
    <w:name w:val="annotation text"/>
    <w:basedOn w:val="Normal"/>
    <w:link w:val="CommentTextChar"/>
    <w:uiPriority w:val="99"/>
    <w:semiHidden/>
    <w:rsid w:val="00EE435F"/>
    <w:rPr>
      <w:rFonts w:cs="Times New Roman"/>
      <w:sz w:val="20"/>
      <w:szCs w:val="20"/>
    </w:rPr>
  </w:style>
  <w:style w:type="character" w:customStyle="1" w:styleId="CommentTextChar">
    <w:name w:val="Comment Text Char"/>
    <w:basedOn w:val="DefaultParagraphFont"/>
    <w:link w:val="CommentText"/>
    <w:uiPriority w:val="99"/>
    <w:semiHidden/>
    <w:rsid w:val="00244A50"/>
    <w:rPr>
      <w:rFonts w:ascii="Arial" w:hAnsi="Arial" w:cs="Arial"/>
      <w:sz w:val="20"/>
      <w:szCs w:val="20"/>
    </w:rPr>
  </w:style>
  <w:style w:type="paragraph" w:styleId="BalloonText">
    <w:name w:val="Balloon Text"/>
    <w:basedOn w:val="Normal"/>
    <w:link w:val="BalloonTextChar"/>
    <w:uiPriority w:val="99"/>
    <w:semiHidden/>
    <w:rsid w:val="006D0372"/>
    <w:rPr>
      <w:rFonts w:ascii="Tahoma" w:hAnsi="Tahoma" w:cs="Tahoma"/>
      <w:sz w:val="16"/>
      <w:szCs w:val="16"/>
    </w:rPr>
  </w:style>
  <w:style w:type="character" w:customStyle="1" w:styleId="BalloonTextChar">
    <w:name w:val="Balloon Text Char"/>
    <w:basedOn w:val="DefaultParagraphFont"/>
    <w:link w:val="BalloonText"/>
    <w:uiPriority w:val="99"/>
    <w:semiHidden/>
    <w:rsid w:val="00244A50"/>
    <w:rPr>
      <w:rFonts w:cs="Arial"/>
      <w:sz w:val="0"/>
      <w:szCs w:val="0"/>
    </w:rPr>
  </w:style>
  <w:style w:type="paragraph" w:styleId="DocumentMap">
    <w:name w:val="Document Map"/>
    <w:basedOn w:val="Normal"/>
    <w:link w:val="DocumentMapChar"/>
    <w:uiPriority w:val="99"/>
    <w:semiHidden/>
    <w:rsid w:val="004B0D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4A50"/>
    <w:rPr>
      <w:rFonts w:cs="Arial"/>
      <w:sz w:val="0"/>
      <w:szCs w:val="0"/>
    </w:rPr>
  </w:style>
  <w:style w:type="table" w:styleId="TableGrid">
    <w:name w:val="Table Grid"/>
    <w:basedOn w:val="TableNormal"/>
    <w:uiPriority w:val="99"/>
    <w:rsid w:val="009B045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9E52E5"/>
    <w:rPr>
      <w:sz w:val="20"/>
      <w:szCs w:val="20"/>
    </w:rPr>
  </w:style>
  <w:style w:type="character" w:customStyle="1" w:styleId="FootnoteTextChar">
    <w:name w:val="Footnote Text Char"/>
    <w:basedOn w:val="DefaultParagraphFont"/>
    <w:link w:val="FootnoteText"/>
    <w:uiPriority w:val="99"/>
    <w:semiHidden/>
    <w:rsid w:val="00244A50"/>
    <w:rPr>
      <w:rFonts w:ascii="Arial" w:hAnsi="Arial" w:cs="Arial"/>
      <w:sz w:val="20"/>
      <w:szCs w:val="20"/>
    </w:rPr>
  </w:style>
  <w:style w:type="character" w:styleId="FootnoteReference">
    <w:name w:val="footnote reference"/>
    <w:basedOn w:val="DefaultParagraphFont"/>
    <w:uiPriority w:val="99"/>
    <w:semiHidden/>
    <w:rsid w:val="009E52E5"/>
    <w:rPr>
      <w:rFonts w:cs="Times New Roman"/>
      <w:vertAlign w:val="superscript"/>
    </w:rPr>
  </w:style>
  <w:style w:type="paragraph" w:styleId="CommentSubject">
    <w:name w:val="annotation subject"/>
    <w:basedOn w:val="CommentText"/>
    <w:next w:val="CommentText"/>
    <w:link w:val="CommentSubjectChar"/>
    <w:uiPriority w:val="99"/>
    <w:semiHidden/>
    <w:rsid w:val="00315EBA"/>
    <w:rPr>
      <w:rFonts w:cs="Arial"/>
      <w:b/>
      <w:bCs/>
    </w:rPr>
  </w:style>
  <w:style w:type="character" w:customStyle="1" w:styleId="CommentSubjectChar">
    <w:name w:val="Comment Subject Char"/>
    <w:basedOn w:val="CommentTextChar"/>
    <w:link w:val="CommentSubject"/>
    <w:uiPriority w:val="99"/>
    <w:semiHidden/>
    <w:rsid w:val="00244A50"/>
    <w:rPr>
      <w:rFonts w:ascii="Arial" w:hAnsi="Arial" w:cs="Arial"/>
      <w:b/>
      <w:bCs/>
      <w:sz w:val="20"/>
      <w:szCs w:val="20"/>
    </w:rPr>
  </w:style>
  <w:style w:type="paragraph" w:styleId="Revision">
    <w:name w:val="Revision"/>
    <w:hidden/>
    <w:uiPriority w:val="99"/>
    <w:semiHidden/>
    <w:rsid w:val="00D04317"/>
    <w:rPr>
      <w:rFonts w:ascii="Arial" w:hAnsi="Arial" w:cs="Arial"/>
    </w:rPr>
  </w:style>
  <w:style w:type="paragraph" w:customStyle="1" w:styleId="Keywords">
    <w:name w:val="Keywords"/>
    <w:basedOn w:val="Normal"/>
    <w:uiPriority w:val="99"/>
    <w:rsid w:val="00897DF9"/>
    <w:pPr>
      <w:widowControl w:val="0"/>
      <w:autoSpaceDE w:val="0"/>
      <w:autoSpaceDN w:val="0"/>
      <w:adjustRightInd w:val="0"/>
      <w:spacing w:before="240"/>
      <w:ind w:left="567" w:right="567"/>
    </w:pPr>
    <w:rPr>
      <w:sz w:val="18"/>
      <w:szCs w:val="18"/>
      <w:lang w:val="en-US"/>
    </w:rPr>
  </w:style>
  <w:style w:type="paragraph" w:customStyle="1" w:styleId="Authorname">
    <w:name w:val="Author name"/>
    <w:next w:val="Authoraffiliations"/>
    <w:autoRedefine/>
    <w:uiPriority w:val="99"/>
    <w:rsid w:val="00003487"/>
    <w:pPr>
      <w:spacing w:after="120"/>
    </w:pPr>
    <w:rPr>
      <w:rFonts w:ascii="Arial" w:hAnsi="Arial" w:cs="Arial"/>
      <w:szCs w:val="20"/>
      <w:lang w:val="en-US"/>
    </w:rPr>
  </w:style>
  <w:style w:type="paragraph" w:customStyle="1" w:styleId="Authoraffiliations">
    <w:name w:val="Author affiliations"/>
    <w:next w:val="Normal"/>
    <w:autoRedefine/>
    <w:uiPriority w:val="99"/>
    <w:rsid w:val="0006269A"/>
    <w:pPr>
      <w:spacing w:line="360" w:lineRule="auto"/>
    </w:pPr>
    <w:rPr>
      <w:rFonts w:ascii="Arial" w:hAnsi="Arial" w:cs="Arial"/>
      <w:sz w:val="20"/>
      <w:szCs w:val="20"/>
      <w:lang w:val="en-US"/>
    </w:rPr>
  </w:style>
  <w:style w:type="paragraph" w:customStyle="1" w:styleId="Articletitle">
    <w:name w:val="Article title"/>
    <w:next w:val="Authorname"/>
    <w:autoRedefine/>
    <w:uiPriority w:val="99"/>
    <w:rsid w:val="00003487"/>
    <w:pPr>
      <w:spacing w:after="240"/>
    </w:pPr>
    <w:rPr>
      <w:rFonts w:ascii="Arial" w:hAnsi="Arial" w:cs="Arial"/>
      <w:b/>
      <w:bCs/>
      <w:kern w:val="32"/>
      <w:sz w:val="52"/>
      <w:szCs w:val="52"/>
      <w:lang w:val="en-US"/>
    </w:rPr>
  </w:style>
  <w:style w:type="character" w:styleId="FollowedHyperlink">
    <w:name w:val="FollowedHyperlink"/>
    <w:basedOn w:val="DefaultParagraphFont"/>
    <w:uiPriority w:val="99"/>
    <w:semiHidden/>
    <w:unhideWhenUsed/>
    <w:rsid w:val="00C32247"/>
    <w:rPr>
      <w:color w:val="800080" w:themeColor="followedHyperlink"/>
      <w:u w:val="single"/>
    </w:rPr>
  </w:style>
  <w:style w:type="paragraph" w:customStyle="1" w:styleId="Default">
    <w:name w:val="Default"/>
    <w:rsid w:val="00C3224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829"/>
    <w:rPr>
      <w:rFonts w:ascii="Arial" w:hAnsi="Arial" w:cs="Arial"/>
    </w:rPr>
  </w:style>
  <w:style w:type="paragraph" w:styleId="Heading1">
    <w:name w:val="heading 1"/>
    <w:basedOn w:val="Normal"/>
    <w:next w:val="Normal"/>
    <w:link w:val="Heading1Char"/>
    <w:uiPriority w:val="99"/>
    <w:qFormat/>
    <w:rsid w:val="002B5829"/>
    <w:pPr>
      <w:keepNext/>
      <w:numPr>
        <w:numId w:val="3"/>
      </w:numPr>
      <w:spacing w:before="240" w:after="480"/>
      <w:outlineLvl w:val="0"/>
    </w:pPr>
    <w:rPr>
      <w:b/>
      <w:bCs/>
      <w:kern w:val="32"/>
      <w:sz w:val="32"/>
      <w:szCs w:val="32"/>
    </w:rPr>
  </w:style>
  <w:style w:type="paragraph" w:styleId="Heading2">
    <w:name w:val="heading 2"/>
    <w:basedOn w:val="Normal"/>
    <w:next w:val="Normal"/>
    <w:link w:val="Heading2Char"/>
    <w:uiPriority w:val="99"/>
    <w:qFormat/>
    <w:rsid w:val="002B5829"/>
    <w:pPr>
      <w:keepNext/>
      <w:numPr>
        <w:ilvl w:val="1"/>
        <w:numId w:val="3"/>
      </w:numPr>
      <w:spacing w:before="480" w:after="120"/>
      <w:outlineLvl w:val="1"/>
    </w:pPr>
    <w:rPr>
      <w:b/>
      <w:bCs/>
      <w:iCs/>
      <w:sz w:val="28"/>
      <w:szCs w:val="28"/>
    </w:rPr>
  </w:style>
  <w:style w:type="paragraph" w:styleId="Heading3">
    <w:name w:val="heading 3"/>
    <w:basedOn w:val="Normal"/>
    <w:next w:val="Normal"/>
    <w:link w:val="Heading3Char"/>
    <w:uiPriority w:val="99"/>
    <w:qFormat/>
    <w:rsid w:val="002B5829"/>
    <w:pPr>
      <w:keepNext/>
      <w:numPr>
        <w:ilvl w:val="2"/>
        <w:numId w:val="3"/>
      </w:numPr>
      <w:spacing w:before="360" w:after="120"/>
      <w:outlineLvl w:val="2"/>
    </w:pPr>
    <w:rPr>
      <w:b/>
      <w:bCs/>
      <w:sz w:val="26"/>
      <w:szCs w:val="26"/>
    </w:rPr>
  </w:style>
  <w:style w:type="paragraph" w:styleId="Heading4">
    <w:name w:val="heading 4"/>
    <w:basedOn w:val="Normal"/>
    <w:next w:val="Normal"/>
    <w:link w:val="Heading4Char"/>
    <w:uiPriority w:val="99"/>
    <w:qFormat/>
    <w:rsid w:val="002B5829"/>
    <w:pPr>
      <w:keepNext/>
      <w:numPr>
        <w:ilvl w:val="3"/>
        <w:numId w:val="3"/>
      </w:numPr>
      <w:spacing w:before="240" w:after="60"/>
      <w:outlineLvl w:val="3"/>
    </w:pPr>
    <w:rPr>
      <w:b/>
      <w:bCs/>
      <w:szCs w:val="28"/>
    </w:rPr>
  </w:style>
  <w:style w:type="paragraph" w:styleId="Heading5">
    <w:name w:val="heading 5"/>
    <w:basedOn w:val="Normal"/>
    <w:next w:val="Normal"/>
    <w:link w:val="Heading5Char"/>
    <w:uiPriority w:val="99"/>
    <w:qFormat/>
    <w:rsid w:val="002B5829"/>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2B5829"/>
    <w:pPr>
      <w:numPr>
        <w:ilvl w:val="5"/>
        <w:numId w:val="3"/>
      </w:numPr>
      <w:spacing w:before="240" w:after="60"/>
      <w:outlineLvl w:val="5"/>
    </w:pPr>
    <w:rPr>
      <w:b/>
      <w:bCs/>
    </w:rPr>
  </w:style>
  <w:style w:type="paragraph" w:styleId="Heading7">
    <w:name w:val="heading 7"/>
    <w:basedOn w:val="Normal"/>
    <w:next w:val="Normal"/>
    <w:link w:val="Heading7Char"/>
    <w:uiPriority w:val="99"/>
    <w:qFormat/>
    <w:rsid w:val="002B5829"/>
    <w:pPr>
      <w:numPr>
        <w:ilvl w:val="6"/>
        <w:numId w:val="3"/>
      </w:numPr>
      <w:spacing w:before="240" w:after="60"/>
      <w:outlineLvl w:val="6"/>
    </w:pPr>
  </w:style>
  <w:style w:type="paragraph" w:styleId="Heading8">
    <w:name w:val="heading 8"/>
    <w:basedOn w:val="Normal"/>
    <w:next w:val="Normal"/>
    <w:link w:val="Heading8Char"/>
    <w:uiPriority w:val="99"/>
    <w:qFormat/>
    <w:rsid w:val="002B5829"/>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2B5829"/>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A5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2B5829"/>
    <w:rPr>
      <w:rFonts w:ascii="Arial" w:hAnsi="Arial" w:cs="Arial"/>
      <w:b/>
      <w:bCs/>
      <w:iCs/>
      <w:sz w:val="28"/>
      <w:szCs w:val="28"/>
      <w:lang w:val="en-GB" w:eastAsia="en-GB" w:bidi="ar-SA"/>
    </w:rPr>
  </w:style>
  <w:style w:type="character" w:customStyle="1" w:styleId="Heading3Char">
    <w:name w:val="Heading 3 Char"/>
    <w:basedOn w:val="DefaultParagraphFont"/>
    <w:link w:val="Heading3"/>
    <w:uiPriority w:val="9"/>
    <w:semiHidden/>
    <w:rsid w:val="00244A5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44A5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44A5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44A5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44A5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44A5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44A50"/>
    <w:rPr>
      <w:rFonts w:asciiTheme="majorHAnsi" w:eastAsiaTheme="majorEastAsia" w:hAnsiTheme="majorHAnsi" w:cstheme="majorBidi"/>
    </w:rPr>
  </w:style>
  <w:style w:type="paragraph" w:customStyle="1" w:styleId="Style2">
    <w:name w:val="Style2"/>
    <w:basedOn w:val="Normal"/>
    <w:autoRedefine/>
    <w:uiPriority w:val="99"/>
    <w:rsid w:val="002B5829"/>
    <w:pPr>
      <w:numPr>
        <w:numId w:val="1"/>
      </w:numPr>
    </w:pPr>
    <w:rPr>
      <w:b/>
      <w:bCs/>
      <w:sz w:val="20"/>
      <w:szCs w:val="20"/>
    </w:rPr>
  </w:style>
  <w:style w:type="paragraph" w:customStyle="1" w:styleId="TOC1">
    <w:name w:val="TOC1"/>
    <w:basedOn w:val="TOC10"/>
    <w:autoRedefine/>
    <w:uiPriority w:val="99"/>
    <w:rsid w:val="002B5829"/>
    <w:rPr>
      <w:b w:val="0"/>
      <w:sz w:val="28"/>
      <w:szCs w:val="28"/>
      <w:lang w:val="en-US" w:eastAsia="en-US"/>
    </w:rPr>
  </w:style>
  <w:style w:type="paragraph" w:styleId="TOC10">
    <w:name w:val="toc 1"/>
    <w:basedOn w:val="Normal"/>
    <w:next w:val="Normal"/>
    <w:autoRedefine/>
    <w:uiPriority w:val="99"/>
    <w:semiHidden/>
    <w:rsid w:val="002B5829"/>
    <w:pPr>
      <w:tabs>
        <w:tab w:val="right" w:leader="dot" w:pos="8494"/>
      </w:tabs>
      <w:spacing w:line="360" w:lineRule="auto"/>
    </w:pPr>
    <w:rPr>
      <w:b/>
      <w:noProof/>
    </w:rPr>
  </w:style>
  <w:style w:type="paragraph" w:styleId="Header">
    <w:name w:val="header"/>
    <w:basedOn w:val="Normal"/>
    <w:link w:val="HeaderChar"/>
    <w:uiPriority w:val="99"/>
    <w:rsid w:val="002B5829"/>
    <w:pPr>
      <w:tabs>
        <w:tab w:val="center" w:pos="4153"/>
        <w:tab w:val="right" w:pos="8306"/>
      </w:tabs>
    </w:pPr>
  </w:style>
  <w:style w:type="character" w:customStyle="1" w:styleId="HeaderChar">
    <w:name w:val="Header Char"/>
    <w:basedOn w:val="DefaultParagraphFont"/>
    <w:link w:val="Header"/>
    <w:uiPriority w:val="99"/>
    <w:semiHidden/>
    <w:rsid w:val="00244A50"/>
    <w:rPr>
      <w:rFonts w:ascii="Arial" w:hAnsi="Arial" w:cs="Arial"/>
    </w:rPr>
  </w:style>
  <w:style w:type="paragraph" w:styleId="Footer">
    <w:name w:val="footer"/>
    <w:basedOn w:val="Normal"/>
    <w:link w:val="FooterChar"/>
    <w:uiPriority w:val="99"/>
    <w:rsid w:val="002B5829"/>
    <w:pPr>
      <w:tabs>
        <w:tab w:val="center" w:pos="4153"/>
        <w:tab w:val="right" w:pos="8306"/>
      </w:tabs>
    </w:pPr>
  </w:style>
  <w:style w:type="character" w:customStyle="1" w:styleId="FooterChar">
    <w:name w:val="Footer Char"/>
    <w:basedOn w:val="DefaultParagraphFont"/>
    <w:link w:val="Footer"/>
    <w:uiPriority w:val="99"/>
    <w:locked/>
    <w:rsid w:val="00003487"/>
    <w:rPr>
      <w:rFonts w:ascii="Arial" w:hAnsi="Arial" w:cs="Arial"/>
      <w:sz w:val="22"/>
      <w:szCs w:val="22"/>
    </w:rPr>
  </w:style>
  <w:style w:type="paragraph" w:customStyle="1" w:styleId="Referencetext">
    <w:name w:val="Reference text"/>
    <w:basedOn w:val="Normal"/>
    <w:uiPriority w:val="99"/>
    <w:rsid w:val="002B5829"/>
    <w:pPr>
      <w:overflowPunct w:val="0"/>
      <w:autoSpaceDE w:val="0"/>
      <w:autoSpaceDN w:val="0"/>
      <w:adjustRightInd w:val="0"/>
      <w:spacing w:line="220" w:lineRule="exact"/>
      <w:ind w:left="284" w:hanging="284"/>
      <w:jc w:val="both"/>
      <w:textAlignment w:val="baseline"/>
    </w:pPr>
    <w:rPr>
      <w:sz w:val="20"/>
      <w:szCs w:val="20"/>
      <w:lang w:eastAsia="en-US"/>
    </w:rPr>
  </w:style>
  <w:style w:type="character" w:styleId="PageNumber">
    <w:name w:val="page number"/>
    <w:basedOn w:val="DefaultParagraphFont"/>
    <w:uiPriority w:val="99"/>
    <w:rsid w:val="002B5829"/>
    <w:rPr>
      <w:rFonts w:cs="Times New Roman"/>
    </w:rPr>
  </w:style>
  <w:style w:type="paragraph" w:customStyle="1" w:styleId="BREbodytext">
    <w:name w:val="BRE body text"/>
    <w:basedOn w:val="Normal"/>
    <w:uiPriority w:val="99"/>
    <w:rsid w:val="002B5829"/>
    <w:pPr>
      <w:spacing w:after="180" w:line="260" w:lineRule="atLeast"/>
      <w:jc w:val="both"/>
    </w:pPr>
    <w:rPr>
      <w:sz w:val="20"/>
      <w:szCs w:val="20"/>
      <w:lang w:eastAsia="cs-CZ"/>
    </w:rPr>
  </w:style>
  <w:style w:type="paragraph" w:styleId="Caption">
    <w:name w:val="caption"/>
    <w:basedOn w:val="Normal"/>
    <w:next w:val="Normal"/>
    <w:uiPriority w:val="99"/>
    <w:qFormat/>
    <w:rsid w:val="002B5829"/>
    <w:rPr>
      <w:b/>
      <w:bCs/>
      <w:sz w:val="20"/>
      <w:szCs w:val="20"/>
    </w:rPr>
  </w:style>
  <w:style w:type="paragraph" w:customStyle="1" w:styleId="Firstparagraph">
    <w:name w:val="First paragraph"/>
    <w:basedOn w:val="Normal"/>
    <w:next w:val="Normal"/>
    <w:uiPriority w:val="99"/>
    <w:rsid w:val="002B5829"/>
    <w:pPr>
      <w:overflowPunct w:val="0"/>
      <w:autoSpaceDE w:val="0"/>
      <w:autoSpaceDN w:val="0"/>
      <w:adjustRightInd w:val="0"/>
      <w:spacing w:line="260" w:lineRule="exact"/>
      <w:jc w:val="both"/>
      <w:textAlignment w:val="baseline"/>
    </w:pPr>
    <w:rPr>
      <w:szCs w:val="20"/>
      <w:lang w:eastAsia="en-US"/>
    </w:rPr>
  </w:style>
  <w:style w:type="paragraph" w:customStyle="1" w:styleId="Figure">
    <w:name w:val="Figure"/>
    <w:basedOn w:val="Normal"/>
    <w:next w:val="Normal"/>
    <w:uiPriority w:val="99"/>
    <w:rsid w:val="002B5829"/>
    <w:pPr>
      <w:overflowPunct w:val="0"/>
      <w:autoSpaceDE w:val="0"/>
      <w:autoSpaceDN w:val="0"/>
      <w:adjustRightInd w:val="0"/>
      <w:jc w:val="both"/>
      <w:textAlignment w:val="baseline"/>
    </w:pPr>
    <w:rPr>
      <w:szCs w:val="20"/>
      <w:lang w:eastAsia="en-US"/>
    </w:rPr>
  </w:style>
  <w:style w:type="paragraph" w:customStyle="1" w:styleId="Tabletext">
    <w:name w:val="Table text"/>
    <w:basedOn w:val="Normal"/>
    <w:uiPriority w:val="99"/>
    <w:rsid w:val="002B5829"/>
    <w:pPr>
      <w:overflowPunct w:val="0"/>
      <w:autoSpaceDE w:val="0"/>
      <w:autoSpaceDN w:val="0"/>
      <w:adjustRightInd w:val="0"/>
      <w:spacing w:line="220" w:lineRule="exact"/>
      <w:textAlignment w:val="baseline"/>
    </w:pPr>
    <w:rPr>
      <w:sz w:val="20"/>
      <w:szCs w:val="20"/>
      <w:lang w:eastAsia="en-US"/>
    </w:rPr>
  </w:style>
  <w:style w:type="paragraph" w:customStyle="1" w:styleId="FigureCaption">
    <w:name w:val="FigureCaption"/>
    <w:basedOn w:val="Normal"/>
    <w:uiPriority w:val="99"/>
    <w:rsid w:val="002B5829"/>
    <w:pPr>
      <w:jc w:val="center"/>
    </w:pPr>
    <w:rPr>
      <w:sz w:val="20"/>
      <w:szCs w:val="32"/>
    </w:rPr>
  </w:style>
  <w:style w:type="paragraph" w:customStyle="1" w:styleId="Figurecaption0">
    <w:name w:val="Figure caption"/>
    <w:basedOn w:val="Normal"/>
    <w:next w:val="Normal"/>
    <w:uiPriority w:val="99"/>
    <w:rsid w:val="002B5829"/>
    <w:pPr>
      <w:overflowPunct w:val="0"/>
      <w:autoSpaceDE w:val="0"/>
      <w:autoSpaceDN w:val="0"/>
      <w:adjustRightInd w:val="0"/>
      <w:spacing w:line="220" w:lineRule="exact"/>
      <w:jc w:val="both"/>
      <w:textAlignment w:val="baseline"/>
    </w:pPr>
    <w:rPr>
      <w:sz w:val="20"/>
      <w:szCs w:val="20"/>
      <w:lang w:eastAsia="en-US"/>
    </w:rPr>
  </w:style>
  <w:style w:type="paragraph" w:customStyle="1" w:styleId="StyleHeading3Italic">
    <w:name w:val="Style Heading 3 + Italic"/>
    <w:basedOn w:val="Heading3"/>
    <w:link w:val="StyleHeading3ItalicChar"/>
    <w:autoRedefine/>
    <w:uiPriority w:val="99"/>
    <w:rsid w:val="002B5829"/>
    <w:pPr>
      <w:jc w:val="both"/>
    </w:pPr>
    <w:rPr>
      <w:b w:val="0"/>
      <w:bCs w:val="0"/>
      <w:i/>
      <w:iCs/>
      <w:sz w:val="22"/>
      <w:szCs w:val="22"/>
      <w:u w:val="single"/>
    </w:rPr>
  </w:style>
  <w:style w:type="character" w:customStyle="1" w:styleId="StyleHeading3ItalicChar">
    <w:name w:val="Style Heading 3 + Italic Char"/>
    <w:basedOn w:val="DefaultParagraphFont"/>
    <w:link w:val="StyleHeading3Italic"/>
    <w:uiPriority w:val="99"/>
    <w:locked/>
    <w:rsid w:val="002B5829"/>
    <w:rPr>
      <w:rFonts w:ascii="Arial" w:hAnsi="Arial" w:cs="Arial"/>
      <w:i/>
      <w:iCs/>
      <w:sz w:val="22"/>
      <w:szCs w:val="22"/>
      <w:u w:val="single"/>
      <w:lang w:val="en-GB" w:eastAsia="en-GB" w:bidi="ar-SA"/>
    </w:rPr>
  </w:style>
  <w:style w:type="paragraph" w:styleId="NormalWeb">
    <w:name w:val="Normal (Web)"/>
    <w:basedOn w:val="Normal"/>
    <w:uiPriority w:val="99"/>
    <w:rsid w:val="002B5829"/>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99"/>
    <w:qFormat/>
    <w:rsid w:val="002B5829"/>
    <w:rPr>
      <w:rFonts w:cs="Times New Roman"/>
      <w:i/>
      <w:iCs/>
    </w:rPr>
  </w:style>
  <w:style w:type="character" w:styleId="Strong">
    <w:name w:val="Strong"/>
    <w:basedOn w:val="DefaultParagraphFont"/>
    <w:uiPriority w:val="99"/>
    <w:qFormat/>
    <w:rsid w:val="002B5829"/>
    <w:rPr>
      <w:rFonts w:cs="Times New Roman"/>
      <w:b/>
      <w:bCs/>
    </w:rPr>
  </w:style>
  <w:style w:type="character" w:styleId="Hyperlink">
    <w:name w:val="Hyperlink"/>
    <w:basedOn w:val="DefaultParagraphFont"/>
    <w:uiPriority w:val="99"/>
    <w:rsid w:val="002B5829"/>
    <w:rPr>
      <w:rFonts w:cs="Times New Roman"/>
      <w:color w:val="0000FF"/>
      <w:u w:val="single"/>
    </w:rPr>
  </w:style>
  <w:style w:type="character" w:styleId="CommentReference">
    <w:name w:val="annotation reference"/>
    <w:basedOn w:val="DefaultParagraphFont"/>
    <w:uiPriority w:val="99"/>
    <w:semiHidden/>
    <w:rsid w:val="00EE435F"/>
    <w:rPr>
      <w:rFonts w:cs="Times New Roman"/>
      <w:sz w:val="16"/>
      <w:szCs w:val="16"/>
    </w:rPr>
  </w:style>
  <w:style w:type="paragraph" w:styleId="CommentText">
    <w:name w:val="annotation text"/>
    <w:basedOn w:val="Normal"/>
    <w:link w:val="CommentTextChar"/>
    <w:uiPriority w:val="99"/>
    <w:semiHidden/>
    <w:rsid w:val="00EE435F"/>
    <w:rPr>
      <w:rFonts w:cs="Times New Roman"/>
      <w:sz w:val="20"/>
      <w:szCs w:val="20"/>
    </w:rPr>
  </w:style>
  <w:style w:type="character" w:customStyle="1" w:styleId="CommentTextChar">
    <w:name w:val="Comment Text Char"/>
    <w:basedOn w:val="DefaultParagraphFont"/>
    <w:link w:val="CommentText"/>
    <w:uiPriority w:val="99"/>
    <w:semiHidden/>
    <w:rsid w:val="00244A50"/>
    <w:rPr>
      <w:rFonts w:ascii="Arial" w:hAnsi="Arial" w:cs="Arial"/>
      <w:sz w:val="20"/>
      <w:szCs w:val="20"/>
    </w:rPr>
  </w:style>
  <w:style w:type="paragraph" w:styleId="BalloonText">
    <w:name w:val="Balloon Text"/>
    <w:basedOn w:val="Normal"/>
    <w:link w:val="BalloonTextChar"/>
    <w:uiPriority w:val="99"/>
    <w:semiHidden/>
    <w:rsid w:val="006D0372"/>
    <w:rPr>
      <w:rFonts w:ascii="Tahoma" w:hAnsi="Tahoma" w:cs="Tahoma"/>
      <w:sz w:val="16"/>
      <w:szCs w:val="16"/>
    </w:rPr>
  </w:style>
  <w:style w:type="character" w:customStyle="1" w:styleId="BalloonTextChar">
    <w:name w:val="Balloon Text Char"/>
    <w:basedOn w:val="DefaultParagraphFont"/>
    <w:link w:val="BalloonText"/>
    <w:uiPriority w:val="99"/>
    <w:semiHidden/>
    <w:rsid w:val="00244A50"/>
    <w:rPr>
      <w:rFonts w:cs="Arial"/>
      <w:sz w:val="0"/>
      <w:szCs w:val="0"/>
    </w:rPr>
  </w:style>
  <w:style w:type="paragraph" w:styleId="DocumentMap">
    <w:name w:val="Document Map"/>
    <w:basedOn w:val="Normal"/>
    <w:link w:val="DocumentMapChar"/>
    <w:uiPriority w:val="99"/>
    <w:semiHidden/>
    <w:rsid w:val="004B0D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4A50"/>
    <w:rPr>
      <w:rFonts w:cs="Arial"/>
      <w:sz w:val="0"/>
      <w:szCs w:val="0"/>
    </w:rPr>
  </w:style>
  <w:style w:type="table" w:styleId="TableGrid">
    <w:name w:val="Table Grid"/>
    <w:basedOn w:val="TableNormal"/>
    <w:uiPriority w:val="99"/>
    <w:rsid w:val="009B045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9E52E5"/>
    <w:rPr>
      <w:sz w:val="20"/>
      <w:szCs w:val="20"/>
    </w:rPr>
  </w:style>
  <w:style w:type="character" w:customStyle="1" w:styleId="FootnoteTextChar">
    <w:name w:val="Footnote Text Char"/>
    <w:basedOn w:val="DefaultParagraphFont"/>
    <w:link w:val="FootnoteText"/>
    <w:uiPriority w:val="99"/>
    <w:semiHidden/>
    <w:rsid w:val="00244A50"/>
    <w:rPr>
      <w:rFonts w:ascii="Arial" w:hAnsi="Arial" w:cs="Arial"/>
      <w:sz w:val="20"/>
      <w:szCs w:val="20"/>
    </w:rPr>
  </w:style>
  <w:style w:type="character" w:styleId="FootnoteReference">
    <w:name w:val="footnote reference"/>
    <w:basedOn w:val="DefaultParagraphFont"/>
    <w:uiPriority w:val="99"/>
    <w:semiHidden/>
    <w:rsid w:val="009E52E5"/>
    <w:rPr>
      <w:rFonts w:cs="Times New Roman"/>
      <w:vertAlign w:val="superscript"/>
    </w:rPr>
  </w:style>
  <w:style w:type="paragraph" w:styleId="CommentSubject">
    <w:name w:val="annotation subject"/>
    <w:basedOn w:val="CommentText"/>
    <w:next w:val="CommentText"/>
    <w:link w:val="CommentSubjectChar"/>
    <w:uiPriority w:val="99"/>
    <w:semiHidden/>
    <w:rsid w:val="00315EBA"/>
    <w:rPr>
      <w:rFonts w:cs="Arial"/>
      <w:b/>
      <w:bCs/>
    </w:rPr>
  </w:style>
  <w:style w:type="character" w:customStyle="1" w:styleId="CommentSubjectChar">
    <w:name w:val="Comment Subject Char"/>
    <w:basedOn w:val="CommentTextChar"/>
    <w:link w:val="CommentSubject"/>
    <w:uiPriority w:val="99"/>
    <w:semiHidden/>
    <w:rsid w:val="00244A50"/>
    <w:rPr>
      <w:rFonts w:ascii="Arial" w:hAnsi="Arial" w:cs="Arial"/>
      <w:b/>
      <w:bCs/>
      <w:sz w:val="20"/>
      <w:szCs w:val="20"/>
    </w:rPr>
  </w:style>
  <w:style w:type="paragraph" w:styleId="Revision">
    <w:name w:val="Revision"/>
    <w:hidden/>
    <w:uiPriority w:val="99"/>
    <w:semiHidden/>
    <w:rsid w:val="00D04317"/>
    <w:rPr>
      <w:rFonts w:ascii="Arial" w:hAnsi="Arial" w:cs="Arial"/>
    </w:rPr>
  </w:style>
  <w:style w:type="paragraph" w:customStyle="1" w:styleId="Keywords">
    <w:name w:val="Keywords"/>
    <w:basedOn w:val="Normal"/>
    <w:uiPriority w:val="99"/>
    <w:rsid w:val="00897DF9"/>
    <w:pPr>
      <w:widowControl w:val="0"/>
      <w:autoSpaceDE w:val="0"/>
      <w:autoSpaceDN w:val="0"/>
      <w:adjustRightInd w:val="0"/>
      <w:spacing w:before="240"/>
      <w:ind w:left="567" w:right="567"/>
    </w:pPr>
    <w:rPr>
      <w:sz w:val="18"/>
      <w:szCs w:val="18"/>
      <w:lang w:val="en-US"/>
    </w:rPr>
  </w:style>
  <w:style w:type="paragraph" w:customStyle="1" w:styleId="Authorname">
    <w:name w:val="Author name"/>
    <w:next w:val="Authoraffiliations"/>
    <w:autoRedefine/>
    <w:uiPriority w:val="99"/>
    <w:rsid w:val="00003487"/>
    <w:pPr>
      <w:spacing w:after="120"/>
    </w:pPr>
    <w:rPr>
      <w:rFonts w:ascii="Arial" w:hAnsi="Arial" w:cs="Arial"/>
      <w:szCs w:val="20"/>
      <w:lang w:val="en-US"/>
    </w:rPr>
  </w:style>
  <w:style w:type="paragraph" w:customStyle="1" w:styleId="Authoraffiliations">
    <w:name w:val="Author affiliations"/>
    <w:next w:val="Normal"/>
    <w:autoRedefine/>
    <w:uiPriority w:val="99"/>
    <w:rsid w:val="0006269A"/>
    <w:pPr>
      <w:spacing w:line="360" w:lineRule="auto"/>
    </w:pPr>
    <w:rPr>
      <w:rFonts w:ascii="Arial" w:hAnsi="Arial" w:cs="Arial"/>
      <w:sz w:val="20"/>
      <w:szCs w:val="20"/>
      <w:lang w:val="en-US"/>
    </w:rPr>
  </w:style>
  <w:style w:type="paragraph" w:customStyle="1" w:styleId="Articletitle">
    <w:name w:val="Article title"/>
    <w:next w:val="Authorname"/>
    <w:autoRedefine/>
    <w:uiPriority w:val="99"/>
    <w:rsid w:val="00003487"/>
    <w:pPr>
      <w:spacing w:after="240"/>
    </w:pPr>
    <w:rPr>
      <w:rFonts w:ascii="Arial" w:hAnsi="Arial" w:cs="Arial"/>
      <w:b/>
      <w:bCs/>
      <w:kern w:val="32"/>
      <w:sz w:val="52"/>
      <w:szCs w:val="52"/>
      <w:lang w:val="en-US"/>
    </w:rPr>
  </w:style>
  <w:style w:type="character" w:styleId="FollowedHyperlink">
    <w:name w:val="FollowedHyperlink"/>
    <w:basedOn w:val="DefaultParagraphFont"/>
    <w:uiPriority w:val="99"/>
    <w:semiHidden/>
    <w:unhideWhenUsed/>
    <w:rsid w:val="00C32247"/>
    <w:rPr>
      <w:color w:val="800080" w:themeColor="followedHyperlink"/>
      <w:u w:val="single"/>
    </w:rPr>
  </w:style>
  <w:style w:type="paragraph" w:customStyle="1" w:styleId="Default">
    <w:name w:val="Default"/>
    <w:rsid w:val="00C3224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virtuallibrary.com/upload/proceedingskeywords.pdf" TargetMode="External"/><Relationship Id="rId13" Type="http://schemas.openxmlformats.org/officeDocument/2006/relationships/image" Target="media/image3.wmf"/><Relationship Id="rId18" Type="http://schemas.openxmlformats.org/officeDocument/2006/relationships/hyperlink" Target="http://dx.doi.org/10.1680/cien.2011.164.3.129"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icevirtuallibrary.com/upload/reference.pdf" TargetMode="External"/><Relationship Id="rId2" Type="http://schemas.openxmlformats.org/officeDocument/2006/relationships/styles" Target="styles.xml"/><Relationship Id="rId16" Type="http://schemas.openxmlformats.org/officeDocument/2006/relationships/hyperlink" Target="http://www.icevirtuallibrary.com/search/advancedsearch"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icevirtuallibrary.com/search/advancedsearch"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3672</Words>
  <Characters>20933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Reinforcement ratios and their effects on slab panel failure in fire</vt:lpstr>
    </vt:vector>
  </TitlesOfParts>
  <Company>University of Canterbury</Company>
  <LinksUpToDate>false</LinksUpToDate>
  <CharactersWithSpaces>24556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Reinforcement ratios and their effects on slab panel failure in fire</dc:title>
  <dc:creator>Cip04aka</dc:creator>
  <cp:lastModifiedBy>Ben Ramster</cp:lastModifiedBy>
  <cp:revision>4</cp:revision>
  <cp:lastPrinted>2009-08-05T12:20:00Z</cp:lastPrinted>
  <dcterms:created xsi:type="dcterms:W3CDTF">2013-01-09T09:49:00Z</dcterms:created>
  <dcterms:modified xsi:type="dcterms:W3CDTF">2013-01-09T11:15:00Z</dcterms:modified>
</cp:coreProperties>
</file>